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body>
    <w:p>
      <w:pPr>
        <w:pStyle w:val="Heading1"/>
        <w:spacing w:after="240"/>
      </w:pPr>
      <w:r>
        <w:t xml:space="preserve">Block content controls</w:t>
      </w:r>
    </w:p>
    <w:p>
      <w:r>
        <w:t xml:space="preserve">A control standing under the body holds blocks of its own, and the two paragraphs below are the blocks of the first one.</w:t>
      </w:r>
    </w:p>
    <w:sdt>
      <w:sdtPr>
        <w:alias w:val="Opening clause"/>
        <w:id w:val="401"/>
        <w:richText/>
      </w:sdtPr>
      <w:sdtContent>
        <w:p>
          <w:r>
            <w:t xml:space="preserve">The opening clause of a rich text control.</w:t>
          </w:r>
        </w:p>
        <w:p>
          <w:r>
            <w:t xml:space="preserve">Its closing clause, in a second paragraph.</w:t>
          </w:r>
        </w:p>
      </w:sdtContent>
    </w:sdt>
    <w:p>
      <w:r>
        <w:t xml:space="preserve">A control may hold another control, and the group below holds a rich text control inside itself.</w:t>
      </w:r>
    </w:p>
    <w:sdt>
      <w:sdtPr>
        <w:id w:val="402"/>
        <w:group/>
      </w:sdtPr>
      <w:sdtContent>
        <w:sdt>
          <w:sdtPr>
            <w:id w:val="403"/>
            <w:richText/>
          </w:sdtPr>
          <w:sdtContent>
            <w:p>
              <w:r>
                <w:t xml:space="preserve">The inner control holds the only paragraph of the pair.</w:t>
              </w:r>
            </w:p>
          </w:sdtContent>
        </w:sdt>
      </w:sdtContent>
    </w:sdt>
    <w:p>
      <w:r>
        <w:t xml:space="preserve">A control may hold a table as readily as a paragraph.</w:t>
      </w:r>
    </w:p>
    <w:sdt>
      <w:sdtPr>
        <w:id w:val="404"/>
        <w:richText/>
      </w:sdtPr>
      <w:sdtContent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</w:tblPr>
          <w:tblGrid>
            <w:gridCol w:w="4513"/>
            <w:gridCol w:w="4513"/>
          </w:tblGrid>
          <w:tr>
            <w:tc>
              <w:tcPr>
                <w:tcW w:w="4513" w:type="dxa"/>
              </w:tcPr>
              <w:p>
                <w:r>
                  <w:t xml:space="preserve">A cell of a table a control holds</w:t>
                </w:r>
              </w:p>
            </w:tc>
            <w:tc>
              <w:tcPr>
                <w:tcW w:w="4513" w:type="dxa"/>
              </w:tcPr>
              <w:p>
                <w:r>
                  <w:t xml:space="preserve">beside its neighbour.</w:t>
                </w:r>
              </w:p>
            </w:tc>
          </w:tr>
        </w:tbl>
      </w:sdtContent>
    </w:sdt>
    <w:p>
      <w:r>
        <w:t xml:space="preserve">A control may also stand inside a cell, around the blocks of that cell rather than around the cell itself.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c>
          <w:tcPr>
            <w:tcW w:w="4513" w:type="dxa"/>
          </w:tcPr>
          <w:p>
            <w:r>
              <w:t xml:space="preserve">A plain cell</w:t>
            </w:r>
          </w:p>
        </w:tc>
        <w:tc>
          <w:tcPr>
            <w:tcW w:w="4513" w:type="dxa"/>
          </w:tcPr>
          <w:sdt>
            <w:sdtPr>
              <w:id w:val="405"/>
              <w:richText/>
            </w:sdtPr>
            <w:sdtContent>
              <w:p>
                <w:r>
                  <w:t xml:space="preserve">A control inside this cell.</w:t>
                </w:r>
              </w:p>
            </w:sdtContent>
          </w:sdt>
        </w:tc>
      </w:tr>
    </w:tbl>
    <w:p>
      <w:r>
        <w:t xml:space="preserve">The three controls below are kept whole instead of being opened, each for a reason of its own.</w:t>
      </w:r>
    </w:p>
    <w:sdt>
      <w:sdtPr>
        <w:id w:val="406"/>
        <w:text w:multiLine="0"/>
      </w:sdtPr>
      <w:sdtContent>
        <w:p>
          <w:r>
            <w:t xml:space="preserve">A text control takes at most one paragraph, so it stays as it came.</w:t>
          </w:r>
        </w:p>
      </w:sdtContent>
    </w:sdt>
    <w:sdt>
      <w:sdtPr>
        <w:id w:val="410"/>
        <w:date/>
      </w:sdtPr>
      <w:sdtContent>
        <w:p>
          <w:r>
            <w:t xml:space="preserve">A date control takes a single run, so it stays as it came.</w:t>
          </w:r>
        </w:p>
      </w:sdtContent>
    </w:sdt>
    <w:sdt>
      <w:sdtPr>
        <w:id w:val="407"/>
      </w:sdtPr>
      <w:sdtContent/>
    </w:sdt>
    <w:p>
      <w:r>
        <w:t xml:space="preserve">The two below carry a lock apiece, the first over its contents and the second over its own wrapper.</w:t>
      </w:r>
    </w:p>
    <w:sdt>
      <w:sdtPr>
        <w:id w:val="408"/>
        <w:lock w:val="sdtContentLocked"/>
        <w:richText/>
      </w:sdtPr>
      <w:sdtContent>
        <w:p>
          <w:r>
            <w:t xml:space="preserve">The contents of this control may not be edited, and the control may not be deleted.</w:t>
          </w:r>
        </w:p>
      </w:sdtContent>
    </w:sdt>
    <w:sdt>
      <w:sdtPr>
        <w:id w:val="409"/>
        <w:lock w:val="sdtLocked"/>
        <w:richText/>
      </w:sdtPr>
      <w:sdtContent>
        <w:p>
          <w:r>
            <w:t xml:space="preserve">The contents of this control may be retyped, while the control itself may not be removed.</w:t>
          </w:r>
        </w:p>
      </w:sdtContent>
    </w:sdt>
    <w:p>
      <w:r>
        <w:t xml:space="preserve">Nothing here was saved by a word processor; every part is written on purpose.</w:t>
      </w:r>
    </w:p>
    <w:sectPr>
      <w:pgSz w:w="11906" w:h="16838" w:orient="portrait"/>
      <w:pgMar w:top="1701" w:right="1440" w:bottom="1418" w:left="1440" w:header="709" w:footer="567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font w:name="Times New Roman"/>
  <w:font w:name="MS Gothic"/>
  <w:font w:name="MS Mincho"/>
  <w:font w:name="Microsoft YaHei"/>
  <w:font w:name="SimSun"/>
  <w:font w:name="Malgun Gothic"/>
  <w:font w:name="Gungsuh"/>
</w:fonts>
</file>

<file path=word/numbering.xml><?xml version="1.0" encoding="utf-8"?>
<w:numbering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abstractNum w:abstractNumId="0">
    <w:multiLevelType w:val="singleLevel"/>
    <w:lvl w:ilvl="0">
      <w:start w:val="1"/>
      <w:numFmt w:val="decimal"/>
      <w:lvlText w:val="%1."/>
      <w:lvlJc w:val="left"/>
      <w:pPr>
        <w:ind w:left="708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displayBackgroundShape/>
  <w:evenAndOddHeaders w:val="false"/>
  <w:compat>
    <w:compatSetting w:val="15" w:name="compatibilityMode" w:uri="http://schemas.microsoft.com/office/word"/>
  </w:compat>
  <w:themeFontLang w:val="en-GB"/>
</w:settings>
</file>

<file path=word/styles.xml><?xml version="1.0" encoding="utf-8"?>
<w:style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GB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paragraph" w:styleId="Heading1">
    <w:name w:val="Heading 1"/>
    <w:basedOn w:val="Normal"/>
    <w:next w:val="Normal"/>
    <w:rPr>
      <w:b/>
      <w:bCs/>
      <w:sz w:val="28"/>
      <w:szCs w:val="28"/>
    </w:rPr>
  </w:style>
  <w:style w:type="paragraph" w:styleId="ListParagraph">
    <w:name w:val="List Paragraph"/>
    <w:basedOn w:val="Normal"/>
    <w:next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Yu Gothic"/>
        <a:cs typeface=""/>
        <a:font script="Jpan" typeface="Yu Gothic"/>
        <a:font script="Hans" typeface="Microsoft YaHei"/>
      </a:majorFont>
      <a:minorFont>
        <a:latin typeface="Calibri"/>
        <a:ea typeface="Yu Mincho"/>
        <a:cs typeface=""/>
        <a:font script="Jpan" typeface="Yu Mincho"/>
        <a:font script="Hans" typeface="DengXian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Preserved markup (fixture)</dc:title>
  <dc:creator>docx-editor fixtures</dc:creator>
  <cp:revision>1</cp:revision>
</cp:coreProperties>
</file>