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drawing>
          <wp:inline distT="0" distB="0" distL="0" distR="0">
            <wp:extent cx="20002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10287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C4494" w:val="clear"/>
            <w:tcMar>
              <w:top w:type="dxa" w:w="60"/>
              <w:bottom w:type="dxa" w:w="60"/>
            </w:tcMar>
          </w:tcPr>
          <w:p/>
        </w:tc>
        <w:tc>
          <w:tcPr>
            <w:tcW w:type="pct" w:w="25%"/>
            <w:shd w:fill="468BD0" w:val="clear"/>
            <w:tcMar>
              <w:top w:type="dxa" w:w="60"/>
              <w:bottom w:type="dxa" w:w="60"/>
            </w:tcMar>
          </w:tcPr>
          <w:p/>
        </w:tc>
        <w:tc>
          <w:tcPr>
            <w:tcW w:type="pct" w:w="25%"/>
            <w:shd w:fill="FCB434" w:val="clear"/>
            <w:tcMar>
              <w:top w:type="dxa" w:w="60"/>
              <w:bottom w:type="dxa" w:w="60"/>
            </w:tcMar>
          </w:tcPr>
          <w:p/>
        </w:tc>
        <w:tc>
          <w:tcPr>
            <w:tcW w:type="pct" w:w="25%"/>
            <w:shd w:fill="E84E1B" w:val="clear"/>
            <w:tcMar>
              <w:top w:type="dxa" w:w="60"/>
              <w:bottom w:type="dxa" w:w="60"/>
            </w:tcMar>
          </w:tcPr>
          <w:p/>
        </w:tc>
      </w:tr>
    </w:tbl>
    <w:p>
      <w:pPr>
        <w:spacing w:after="1000"/>
      </w:pPr>
    </w:p>
    <w:p>
      <w:pPr>
        <w:spacing w:after="120"/>
      </w:pPr>
      <w:r>
        <w:rPr>
          <w:rFonts w:ascii="Poppins" w:cs="Poppins" w:eastAsia="Poppins" w:hAnsi="Poppins"/>
          <w:b/>
          <w:bCs/>
          <w:color w:val="468BD0"/>
          <w:sz w:val="24"/>
          <w:szCs w:val="24"/>
        </w:rPr>
        <w:t xml:space="preserve">PORT VIRTUAL LAB</w:t>
      </w:r>
    </w:p>
    <w:p>
      <w:pPr>
        <w:spacing w:after="200"/>
      </w:pPr>
      <w:r>
        <w:rPr>
          <w:rFonts w:ascii="Poppins" w:cs="Poppins" w:eastAsia="Poppins" w:hAnsi="Poppins"/>
          <w:b/>
          <w:bCs/>
          <w:color w:val="0C4494"/>
          <w:sz w:val="64"/>
          <w:szCs w:val="64"/>
        </w:rPr>
        <w:t xml:space="preserve">Negotiation Module</w:t>
      </w:r>
    </w:p>
    <w:p>
      <w:pPr>
        <w:spacing w:after="400"/>
      </w:pPr>
      <w:r>
        <w:rPr>
          <w:rFonts w:ascii="Poppins" w:cs="Poppins" w:eastAsia="Poppins" w:hAnsi="Poppins"/>
          <w:b/>
          <w:bCs/>
          <w:color w:val="FCB434"/>
          <w:sz w:val="36"/>
          <w:szCs w:val="36"/>
        </w:rPr>
        <w:t xml:space="preserve">Student Guide</w:t>
      </w:r>
    </w:p>
    <w:p>
      <w:pPr>
        <w:spacing w:after="3200"/>
      </w:pPr>
      <w:r>
        <w:rPr>
          <w:rFonts w:ascii="Poppins" w:cs="Poppins" w:eastAsia="Poppins" w:hAnsi="Poppins"/>
          <w:i/>
          <w:iCs/>
          <w:color w:val="3A3A3A"/>
          <w:sz w:val="24"/>
          <w:szCs w:val="24"/>
        </w:rPr>
        <w:t xml:space="preserve">Develop your negotiation skills through a realistic international trade and logistics scenario.</w:t>
      </w:r>
    </w:p>
    <w:p>
      <w:r>
        <w:rPr>
          <w:rFonts w:ascii="Poppins" w:cs="Poppins" w:eastAsia="Poppins" w:hAnsi="Poppins"/>
          <w:color w:val="888888"/>
          <w:sz w:val="18"/>
          <w:szCs w:val="18"/>
        </w:rPr>
        <w:t xml:space="preserve">Negotiation Module — Working Draft</w:t>
      </w:r>
    </w:p>
    <w:p>
      <w:r>
        <w:br w:type="page"/>
      </w:r>
    </w:p>
    <w:p>
      <w:pPr>
        <w:pStyle w:val="Heading1"/>
        <w:pBdr>
          <w:bottom w:val="single" w:color="FCB434" w:sz="18" w:space="6"/>
        </w:pBdr>
        <w:spacing w:after="200" w:before="300"/>
      </w:pPr>
      <w:r>
        <w:rPr>
          <w:rFonts w:ascii="Poppins" w:cs="Poppins" w:eastAsia="Poppins" w:hAnsi="Poppins"/>
          <w:b/>
          <w:bCs/>
          <w:color w:val="0C4494"/>
          <w:sz w:val="32"/>
          <w:szCs w:val="32"/>
        </w:rPr>
        <w:t xml:space="preserve">Welcome</w:t>
      </w:r>
    </w:p>
    <w:p>
      <w:pPr>
        <w:spacing w:after="160"/>
      </w:pPr>
      <w:r>
        <w:rPr>
          <w:rFonts w:ascii="Poppins" w:cs="Poppins" w:eastAsia="Poppins" w:hAnsi="Poppins"/>
          <w:color w:val="3A3A3A"/>
          <w:sz w:val="22"/>
          <w:szCs w:val="22"/>
        </w:rPr>
        <w:t xml:space="preserve">The Negotiation Module is a hands-on simulation inside Open Lab that puts you in the shoes of a real logistics professional. You will represent one side of a commercial negotiation, prepare a position, and work with (or against) a counterpart to reach the best possible agreement.</w:t>
      </w:r>
    </w:p>
    <w:p>
      <w:pPr>
        <w:spacing w:after="160"/>
      </w:pPr>
      <w:r>
        <w:rPr>
          <w:rFonts w:ascii="Poppins" w:cs="Poppins" w:eastAsia="Poppins" w:hAnsi="Poppins"/>
          <w:color w:val="3A3A3A"/>
          <w:sz w:val="22"/>
          <w:szCs w:val="22"/>
        </w:rPr>
        <w:t xml:space="preserve">This guide walks you through everything you need before you start: what the activity is about, how to access it, the rules you must follow, and how you will be assessed.</w:t>
      </w:r>
    </w:p>
    <w:p>
      <w:pPr>
        <w:pStyle w:val="Heading2"/>
        <w:spacing w:after="140" w:before="260"/>
      </w:pPr>
      <w:r>
        <w:rPr>
          <w:rFonts w:ascii="Poppins" w:cs="Poppins" w:eastAsia="Poppins" w:hAnsi="Poppins"/>
          <w:b/>
          <w:bCs/>
          <w:color w:val="468BD0"/>
          <w:sz w:val="25"/>
          <w:szCs w:val="25"/>
        </w:rPr>
        <w:t xml:space="preserve">What You Will Experience</w:t>
      </w:r>
    </w:p>
    <w:p>
      <w:pPr>
        <w:pStyle w:val="ListParagraph"/>
        <w:numPr>
          <w:ilvl w:val="0"/>
          <w:numId w:val="1"/>
        </w:numPr>
        <w:spacing w:after="80"/>
      </w:pPr>
      <w:r>
        <w:rPr>
          <w:rFonts w:ascii="Poppins" w:cs="Poppins" w:eastAsia="Poppins" w:hAnsi="Poppins"/>
          <w:color w:val="3A3A3A"/>
          <w:sz w:val="22"/>
          <w:szCs w:val="22"/>
        </w:rPr>
        <w:t xml:space="preserve">A realistic negotiation scenario set in international freight and port logistics.</w:t>
      </w:r>
    </w:p>
    <w:p>
      <w:pPr>
        <w:pStyle w:val="ListParagraph"/>
        <w:numPr>
          <w:ilvl w:val="0"/>
          <w:numId w:val="1"/>
        </w:numPr>
        <w:spacing w:after="80"/>
      </w:pPr>
      <w:r>
        <w:rPr>
          <w:rFonts w:ascii="Poppins" w:cs="Poppins" w:eastAsia="Poppins" w:hAnsi="Poppins"/>
          <w:color w:val="3A3A3A"/>
          <w:sz w:val="22"/>
          <w:szCs w:val="22"/>
        </w:rPr>
        <w:t xml:space="preserve">An assigned role with its own objectives, constraints, and confidential information.</w:t>
      </w:r>
    </w:p>
    <w:p>
      <w:pPr>
        <w:pStyle w:val="ListParagraph"/>
        <w:numPr>
          <w:ilvl w:val="0"/>
          <w:numId w:val="1"/>
        </w:numPr>
        <w:spacing w:after="80"/>
      </w:pPr>
      <w:r>
        <w:rPr>
          <w:rFonts w:ascii="Poppins" w:cs="Poppins" w:eastAsia="Poppins" w:hAnsi="Poppins"/>
          <w:color w:val="3A3A3A"/>
          <w:sz w:val="22"/>
          <w:szCs w:val="22"/>
        </w:rPr>
        <w:t xml:space="preserve">A live or asynchronous negotiation session with a counterpart, following clear rules and a time limit.</w:t>
      </w:r>
    </w:p>
    <w:p>
      <w:pPr>
        <w:pStyle w:val="ListParagraph"/>
        <w:numPr>
          <w:ilvl w:val="0"/>
          <w:numId w:val="1"/>
        </w:numPr>
        <w:spacing w:after="80"/>
      </w:pPr>
      <w:r>
        <w:rPr>
          <w:rFonts w:ascii="Poppins" w:cs="Poppins" w:eastAsia="Poppins" w:hAnsi="Poppins"/>
          <w:color w:val="3A3A3A"/>
          <w:sz w:val="22"/>
          <w:szCs w:val="22"/>
        </w:rPr>
        <w:t xml:space="preserve">Structured feedback on your performance based on a shared assessment rubric.</w:t>
      </w:r>
    </w:p>
    <w:p>
      <w:pPr>
        <w:pStyle w:val="Heading2"/>
        <w:spacing w:after="140" w:before="260"/>
      </w:pPr>
      <w:r>
        <w:rPr>
          <w:rFonts w:ascii="Poppins" w:cs="Poppins" w:eastAsia="Poppins" w:hAnsi="Poppins"/>
          <w:b/>
          <w:bCs/>
          <w:color w:val="468BD0"/>
          <w:sz w:val="25"/>
          <w:szCs w:val="25"/>
        </w:rPr>
        <w:t xml:space="preserve">Competencies You Will Develop</w:t>
      </w:r>
    </w:p>
    <w:p>
      <w:pPr>
        <w:pStyle w:val="ListParagraph"/>
        <w:numPr>
          <w:ilvl w:val="0"/>
          <w:numId w:val="1"/>
        </w:numPr>
        <w:spacing w:after="80"/>
      </w:pPr>
      <w:r>
        <w:rPr>
          <w:rFonts w:ascii="Poppins" w:cs="Poppins" w:eastAsia="Poppins" w:hAnsi="Poppins"/>
          <w:color w:val="3A3A3A"/>
          <w:sz w:val="22"/>
          <w:szCs w:val="22"/>
        </w:rPr>
        <w:t xml:space="preserve">Communication — expressing interests clearly and listening actively.</w:t>
      </w:r>
    </w:p>
    <w:p>
      <w:pPr>
        <w:pStyle w:val="ListParagraph"/>
        <w:numPr>
          <w:ilvl w:val="0"/>
          <w:numId w:val="1"/>
        </w:numPr>
        <w:spacing w:after="80"/>
      </w:pPr>
      <w:r>
        <w:rPr>
          <w:rFonts w:ascii="Poppins" w:cs="Poppins" w:eastAsia="Poppins" w:hAnsi="Poppins"/>
          <w:color w:val="3A3A3A"/>
          <w:sz w:val="22"/>
          <w:szCs w:val="22"/>
        </w:rPr>
        <w:t xml:space="preserve">Strategic thinking — planning your position, priorities, and fallback options.</w:t>
      </w:r>
    </w:p>
    <w:p>
      <w:pPr>
        <w:pStyle w:val="ListParagraph"/>
        <w:numPr>
          <w:ilvl w:val="0"/>
          <w:numId w:val="1"/>
        </w:numPr>
        <w:spacing w:after="80"/>
      </w:pPr>
      <w:r>
        <w:rPr>
          <w:rFonts w:ascii="Poppins" w:cs="Poppins" w:eastAsia="Poppins" w:hAnsi="Poppins"/>
          <w:color w:val="3A3A3A"/>
          <w:sz w:val="22"/>
          <w:szCs w:val="22"/>
        </w:rPr>
        <w:t xml:space="preserve">Conflict resolution — handling disagreement constructively.</w:t>
      </w:r>
    </w:p>
    <w:p>
      <w:pPr>
        <w:pStyle w:val="ListParagraph"/>
        <w:numPr>
          <w:ilvl w:val="0"/>
          <w:numId w:val="1"/>
        </w:numPr>
        <w:spacing w:after="80"/>
      </w:pPr>
      <w:r>
        <w:rPr>
          <w:rFonts w:ascii="Poppins" w:cs="Poppins" w:eastAsia="Poppins" w:hAnsi="Poppins"/>
          <w:color w:val="3A3A3A"/>
          <w:sz w:val="22"/>
          <w:szCs w:val="22"/>
        </w:rPr>
        <w:t xml:space="preserve">Decision making — evaluating trade-offs under time pressure.</w:t>
      </w:r>
    </w:p>
    <w:p>
      <w:pPr>
        <w:pStyle w:val="Heading1"/>
        <w:pBdr>
          <w:bottom w:val="single" w:color="FCB434" w:sz="18" w:space="6"/>
        </w:pBdr>
        <w:spacing w:after="200" w:before="300"/>
      </w:pPr>
      <w:r>
        <w:rPr>
          <w:rFonts w:ascii="Poppins" w:cs="Poppins" w:eastAsia="Poppins" w:hAnsi="Poppins"/>
          <w:b/>
          <w:bCs/>
          <w:color w:val="0C4494"/>
          <w:sz w:val="32"/>
          <w:szCs w:val="32"/>
        </w:rPr>
        <w:t xml:space="preserve">Learning Objectives</w:t>
      </w:r>
    </w:p>
    <w:p>
      <w:pPr>
        <w:spacing w:after="160"/>
      </w:pPr>
      <w:r>
        <w:rPr>
          <w:rFonts w:ascii="Poppins" w:cs="Poppins" w:eastAsia="Poppins" w:hAnsi="Poppins"/>
          <w:color w:val="3A3A3A"/>
          <w:sz w:val="22"/>
          <w:szCs w:val="22"/>
        </w:rPr>
        <w:t xml:space="preserve">By the end of this activity, you should be able to:</w:t>
      </w:r>
    </w:p>
    <w:p>
      <w:pPr>
        <w:pStyle w:val="ListParagraph"/>
        <w:numPr>
          <w:ilvl w:val="0"/>
          <w:numId w:val="1"/>
        </w:numPr>
        <w:spacing w:after="80"/>
      </w:pPr>
      <w:r>
        <w:rPr>
          <w:rFonts w:ascii="Poppins" w:cs="Poppins" w:eastAsia="Poppins" w:hAnsi="Poppins"/>
          <w:color w:val="3A3A3A"/>
          <w:sz w:val="22"/>
          <w:szCs w:val="22"/>
        </w:rPr>
        <w:t xml:space="preserve">Explain the commercial interests and constraints of both parties in a freight/logistics negotiation.</w:t>
      </w:r>
    </w:p>
    <w:p>
      <w:pPr>
        <w:pStyle w:val="ListParagraph"/>
        <w:numPr>
          <w:ilvl w:val="0"/>
          <w:numId w:val="1"/>
        </w:numPr>
        <w:spacing w:after="80"/>
      </w:pPr>
      <w:r>
        <w:rPr>
          <w:rFonts w:ascii="Poppins" w:cs="Poppins" w:eastAsia="Poppins" w:hAnsi="Poppins"/>
          <w:color w:val="3A3A3A"/>
          <w:sz w:val="22"/>
          <w:szCs w:val="22"/>
        </w:rPr>
        <w:t xml:space="preserve">Prepare a negotiation position using objectives, priorities, and a walk-away point (BATNA).</w:t>
      </w:r>
    </w:p>
    <w:p>
      <w:pPr>
        <w:pStyle w:val="ListParagraph"/>
        <w:numPr>
          <w:ilvl w:val="0"/>
          <w:numId w:val="1"/>
        </w:numPr>
        <w:spacing w:after="80"/>
      </w:pPr>
      <w:r>
        <w:rPr>
          <w:rFonts w:ascii="Poppins" w:cs="Poppins" w:eastAsia="Poppins" w:hAnsi="Poppins"/>
          <w:color w:val="3A3A3A"/>
          <w:sz w:val="22"/>
          <w:szCs w:val="22"/>
        </w:rPr>
        <w:t xml:space="preserve">Apply negotiation techniques (framing, trade-offs, active listening) in a live exchange.</w:t>
      </w:r>
    </w:p>
    <w:p>
      <w:pPr>
        <w:pStyle w:val="ListParagraph"/>
        <w:numPr>
          <w:ilvl w:val="0"/>
          <w:numId w:val="1"/>
        </w:numPr>
        <w:spacing w:after="80"/>
      </w:pPr>
      <w:r>
        <w:rPr>
          <w:rFonts w:ascii="Poppins" w:cs="Poppins" w:eastAsia="Poppins" w:hAnsi="Poppins"/>
          <w:color w:val="3A3A3A"/>
          <w:sz w:val="22"/>
          <w:szCs w:val="22"/>
        </w:rPr>
        <w:t xml:space="preserve">Evaluate the outcome of a negotiation against both parties' underlying interests, not just the final number.</w:t>
      </w:r>
    </w:p>
    <w:p>
      <w:pPr>
        <w:pStyle w:val="Heading1"/>
        <w:pBdr>
          <w:bottom w:val="single" w:color="FCB434" w:sz="18" w:space="6"/>
        </w:pBdr>
        <w:spacing w:after="200" w:before="300"/>
      </w:pPr>
      <w:r>
        <w:rPr>
          <w:rFonts w:ascii="Poppins" w:cs="Poppins" w:eastAsia="Poppins" w:hAnsi="Poppins"/>
          <w:b/>
          <w:bCs/>
          <w:color w:val="0C4494"/>
          <w:sz w:val="32"/>
          <w:szCs w:val="32"/>
        </w:rPr>
        <w:t xml:space="preserve">The Scenario at a Glance</w:t>
      </w:r>
    </w:p>
    <w:p>
      <w:pPr>
        <w:spacing w:after="160"/>
      </w:pPr>
      <w:r>
        <w:rPr>
          <w:rFonts w:ascii="Poppins" w:cs="Poppins" w:eastAsia="Poppins" w:hAnsi="Poppins"/>
          <w:color w:val="3A3A3A"/>
          <w:sz w:val="22"/>
          <w:szCs w:val="22"/>
        </w:rPr>
        <w:t xml:space="preserve">This module simulates the annual freight-rate negotiation between an ocean carrier and a freight forwarder who ships containers on their behalf. The two sides must agree on rates, volume commitments, and service terms for the coming year.</w:t>
      </w:r>
    </w:p>
    <w:tbl>
      <w:tblPr>
        <w:tblW w:type="pct" w:w="100%"/>
        <w:tblBorders>
          <w:top w:val="single" w:color="FCB434" w:sz="12"/>
          <w:left w:val="single" w:color="FCB434" w:sz="24"/>
          <w:bottom w:val="single" w:color="FCB434" w:sz="12"/>
          <w:right w:val="single" w:color="FCB434" w:sz="12"/>
          <w:insideH w:val="single" w:color="auto" w:sz="4"/>
          <w:insideV w:val="single" w:color="auto" w:sz="4"/>
        </w:tblBorders>
      </w:tblPr>
      <w:tblGrid>
        <w:gridCol w:w="100"/>
      </w:tblGrid>
      <w:tr>
        <w:tc>
          <w:tcPr>
            <w:tcW w:type="pct" w:w="100%"/>
            <w:shd w:fill="FFF6E6" w:val="clear"/>
            <w:tcMar>
              <w:top w:type="dxa" w:w="180"/>
              <w:left w:type="dxa" w:w="220"/>
              <w:bottom w:type="dxa" w:w="180"/>
              <w:right w:type="dxa" w:w="220"/>
            </w:tcMar>
          </w:tcPr>
          <w:p>
            <w:pPr>
              <w:spacing w:after="60"/>
            </w:pPr>
            <w:r>
              <w:rPr>
                <w:rFonts w:ascii="Poppins" w:cs="Poppins" w:eastAsia="Poppins" w:hAnsi="Poppins"/>
                <w:b/>
                <w:bCs/>
                <w:color w:val="E84E1B"/>
                <w:sz w:val="19"/>
                <w:szCs w:val="19"/>
              </w:rPr>
              <w:t xml:space="preserve">SCENARIO SNAPSHOT</w:t>
            </w:r>
          </w:p>
          <w:p>
            <w:r>
              <w:rPr>
                <w:rFonts w:ascii="Poppins" w:cs="Poppins" w:eastAsia="Poppins" w:hAnsi="Poppins"/>
                <w:color w:val="222222"/>
                <w:sz w:val="22"/>
                <w:szCs w:val="22"/>
              </w:rPr>
              <w:t xml:space="preserve">Atlantic Shipping Lines (the carrier) and Meridian Import-Export Co. (the freight forwarder) need to renew their annual container-shipping contract on the Barcelona–Rotterdam trade lane before the current agreement expires.</w:t>
            </w:r>
          </w:p>
        </w:tc>
      </w:tr>
    </w:tbl>
    <w:p>
      <w:pPr>
        <w:spacing w:after="160"/>
      </w:pPr>
      <w:r>
        <w:rPr>
          <w:rFonts w:ascii="Poppins" w:cs="Poppins" w:eastAsia="Poppins" w:hAnsi="Poppins"/>
          <w:color w:val="3A3A3A"/>
          <w:sz w:val="22"/>
          <w:szCs w:val="22"/>
        </w:rPr>
        <w:t xml:space="preserve">The specific facts, figures, and confidential instructions for your assigned role will be provided separately by your teacher. Do not share your confidential brief with the other party before or during the negotiation.</w:t>
      </w:r>
    </w:p>
    <w:p>
      <w:pPr>
        <w:pStyle w:val="Heading1"/>
        <w:pBdr>
          <w:bottom w:val="single" w:color="FCB434" w:sz="18" w:space="6"/>
        </w:pBdr>
        <w:spacing w:after="200" w:before="300"/>
      </w:pPr>
      <w:r>
        <w:rPr>
          <w:rFonts w:ascii="Poppins" w:cs="Poppins" w:eastAsia="Poppins" w:hAnsi="Poppins"/>
          <w:b/>
          <w:bCs/>
          <w:color w:val="0C4494"/>
          <w:sz w:val="32"/>
          <w:szCs w:val="32"/>
        </w:rPr>
        <w:t xml:space="preserve">Before You Start</w:t>
      </w:r>
    </w:p>
    <w:p>
      <w:pPr>
        <w:spacing w:after="100"/>
      </w:pPr>
      <w:r>
        <w:rPr>
          <w:rFonts w:ascii="Poppins" w:cs="Poppins" w:eastAsia="Poppins" w:hAnsi="Poppins"/>
          <w:b/>
          <w:bCs/>
          <w:color w:val="468BD0"/>
          <w:sz w:val="22"/>
          <w:szCs w:val="22"/>
        </w:rPr>
        <w:t xml:space="preserve">☐  </w:t>
      </w:r>
      <w:r>
        <w:rPr>
          <w:rFonts w:ascii="Poppins" w:cs="Poppins" w:eastAsia="Poppins" w:hAnsi="Poppins"/>
          <w:color w:val="3A3A3A"/>
          <w:sz w:val="22"/>
          <w:szCs w:val="22"/>
        </w:rPr>
        <w:t xml:space="preserve">Read this guide carefully, including the Activity Rules and Assessment Criteria.</w:t>
      </w:r>
    </w:p>
    <w:p>
      <w:pPr>
        <w:spacing w:after="100"/>
      </w:pPr>
      <w:r>
        <w:rPr>
          <w:rFonts w:ascii="Poppins" w:cs="Poppins" w:eastAsia="Poppins" w:hAnsi="Poppins"/>
          <w:b/>
          <w:bCs/>
          <w:color w:val="468BD0"/>
          <w:sz w:val="22"/>
          <w:szCs w:val="22"/>
        </w:rPr>
        <w:t xml:space="preserve">☐  </w:t>
      </w:r>
      <w:r>
        <w:rPr>
          <w:rFonts w:ascii="Poppins" w:cs="Poppins" w:eastAsia="Poppins" w:hAnsi="Poppins"/>
          <w:color w:val="3A3A3A"/>
          <w:sz w:val="22"/>
          <w:szCs w:val="22"/>
        </w:rPr>
        <w:t xml:space="preserve">Have your Institute Code ready (provided by your institution or teacher).</w:t>
      </w:r>
    </w:p>
    <w:p>
      <w:pPr>
        <w:spacing w:after="100"/>
      </w:pPr>
      <w:r>
        <w:rPr>
          <w:rFonts w:ascii="Poppins" w:cs="Poppins" w:eastAsia="Poppins" w:hAnsi="Poppins"/>
          <w:b/>
          <w:bCs/>
          <w:color w:val="468BD0"/>
          <w:sz w:val="22"/>
          <w:szCs w:val="22"/>
        </w:rPr>
        <w:t xml:space="preserve">☐  </w:t>
      </w:r>
      <w:r>
        <w:rPr>
          <w:rFonts w:ascii="Poppins" w:cs="Poppins" w:eastAsia="Poppins" w:hAnsi="Poppins"/>
          <w:color w:val="3A3A3A"/>
          <w:sz w:val="22"/>
          <w:szCs w:val="22"/>
        </w:rPr>
        <w:t xml:space="preserve">Prepare your login credentials for Open Lab.</w:t>
      </w:r>
    </w:p>
    <w:p>
      <w:pPr>
        <w:spacing w:after="100"/>
      </w:pPr>
      <w:r>
        <w:rPr>
          <w:rFonts w:ascii="Poppins" w:cs="Poppins" w:eastAsia="Poppins" w:hAnsi="Poppins"/>
          <w:b/>
          <w:bCs/>
          <w:color w:val="468BD0"/>
          <w:sz w:val="22"/>
          <w:szCs w:val="22"/>
        </w:rPr>
        <w:t xml:space="preserve">☐  </w:t>
      </w:r>
      <w:r>
        <w:rPr>
          <w:rFonts w:ascii="Poppins" w:cs="Poppins" w:eastAsia="Poppins" w:hAnsi="Poppins"/>
          <w:color w:val="3A3A3A"/>
          <w:sz w:val="22"/>
          <w:szCs w:val="22"/>
        </w:rPr>
        <w:t xml:space="preserve">Read your confidential role brief once it is distributed, and prepare your negotiation position.</w:t>
      </w:r>
    </w:p>
    <w:p>
      <w:pPr>
        <w:spacing w:after="100"/>
      </w:pPr>
      <w:r>
        <w:rPr>
          <w:rFonts w:ascii="Poppins" w:cs="Poppins" w:eastAsia="Poppins" w:hAnsi="Poppins"/>
          <w:b/>
          <w:bCs/>
          <w:color w:val="468BD0"/>
          <w:sz w:val="22"/>
          <w:szCs w:val="22"/>
        </w:rPr>
        <w:t xml:space="preserve">☐  </w:t>
      </w:r>
      <w:r>
        <w:rPr>
          <w:rFonts w:ascii="Poppins" w:cs="Poppins" w:eastAsia="Poppins" w:hAnsi="Poppins"/>
          <w:color w:val="3A3A3A"/>
          <w:sz w:val="22"/>
          <w:szCs w:val="22"/>
        </w:rPr>
        <w:t xml:space="preserve">Review the activity objectives and the assessment rubric so you know what success looks like.</w:t>
      </w:r>
    </w:p>
    <w:p>
      <w:pPr>
        <w:pStyle w:val="Heading1"/>
        <w:pBdr>
          <w:bottom w:val="single" w:color="FCB434" w:sz="18" w:space="6"/>
        </w:pBdr>
        <w:spacing w:after="200" w:before="300"/>
      </w:pPr>
      <w:r>
        <w:rPr>
          <w:rFonts w:ascii="Poppins" w:cs="Poppins" w:eastAsia="Poppins" w:hAnsi="Poppins"/>
          <w:b/>
          <w:bCs/>
          <w:color w:val="0C4494"/>
          <w:sz w:val="32"/>
          <w:szCs w:val="32"/>
        </w:rPr>
        <w:t xml:space="preserve">How to Access the Activity</w:t>
      </w:r>
    </w:p>
    <w:p>
      <w:pPr>
        <w:spacing w:after="160"/>
      </w:pPr>
      <w:r>
        <w:rPr>
          <w:rFonts w:ascii="Poppins" w:cs="Poppins" w:eastAsia="Poppins" w:hAnsi="Poppins"/>
          <w:color w:val="3A3A3A"/>
          <w:sz w:val="22"/>
          <w:szCs w:val="22"/>
        </w:rPr>
        <w:t xml:space="preserve">Follow these steps in Open Lab:</w:t>
      </w:r>
    </w:p>
    <w:p>
      <w:pPr>
        <w:pStyle w:val="ListParagraph"/>
        <w:numPr>
          <w:ilvl w:val="0"/>
          <w:numId w:val="2"/>
        </w:numPr>
        <w:spacing w:after="80"/>
      </w:pPr>
      <w:r>
        <w:rPr>
          <w:rFonts w:ascii="Poppins" w:cs="Poppins" w:eastAsia="Poppins" w:hAnsi="Poppins"/>
          <w:color w:val="3A3A3A"/>
          <w:sz w:val="22"/>
          <w:szCs w:val="22"/>
        </w:rPr>
        <w:t xml:space="preserve">Log in to Open Lab and locate the Negotiation Module icon.</w:t>
      </w:r>
    </w:p>
    <w:p>
      <w:pPr>
        <w:pStyle w:val="ListParagraph"/>
        <w:numPr>
          <w:ilvl w:val="0"/>
          <w:numId w:val="2"/>
        </w:numPr>
        <w:spacing w:after="80"/>
      </w:pPr>
      <w:r>
        <w:rPr>
          <w:rFonts w:ascii="Poppins" w:cs="Poppins" w:eastAsia="Poppins" w:hAnsi="Poppins"/>
          <w:color w:val="3A3A3A"/>
          <w:sz w:val="22"/>
          <w:szCs w:val="22"/>
        </w:rPr>
        <w:t xml:space="preserve">Click the icon to open the Negotiation Module information page.</w:t>
      </w:r>
    </w:p>
    <w:p>
      <w:pPr>
        <w:pStyle w:val="ListParagraph"/>
        <w:numPr>
          <w:ilvl w:val="0"/>
          <w:numId w:val="2"/>
        </w:numPr>
        <w:spacing w:after="80"/>
      </w:pPr>
      <w:r>
        <w:rPr>
          <w:rFonts w:ascii="Poppins" w:cs="Poppins" w:eastAsia="Poppins" w:hAnsi="Poppins"/>
          <w:color w:val="3A3A3A"/>
          <w:sz w:val="22"/>
          <w:szCs w:val="22"/>
        </w:rPr>
        <w:t xml:space="preserve">Read the general information: purpose, learning objectives, preparation steps, and requirements.</w:t>
      </w:r>
    </w:p>
    <w:p>
      <w:pPr>
        <w:pStyle w:val="ListParagraph"/>
        <w:numPr>
          <w:ilvl w:val="0"/>
          <w:numId w:val="2"/>
        </w:numPr>
        <w:spacing w:after="80"/>
      </w:pPr>
      <w:r>
        <w:rPr>
          <w:rFonts w:ascii="Poppins" w:cs="Poppins" w:eastAsia="Poppins" w:hAnsi="Poppins"/>
          <w:color w:val="3A3A3A"/>
          <w:sz w:val="22"/>
          <w:szCs w:val="22"/>
        </w:rPr>
        <w:t xml:space="preserve">Download the Student Guide and any other resources provided.</w:t>
      </w:r>
    </w:p>
    <w:p>
      <w:pPr>
        <w:pStyle w:val="ListParagraph"/>
        <w:numPr>
          <w:ilvl w:val="0"/>
          <w:numId w:val="2"/>
        </w:numPr>
        <w:spacing w:after="80"/>
      </w:pPr>
      <w:r>
        <w:rPr>
          <w:rFonts w:ascii="Poppins" w:cs="Poppins" w:eastAsia="Poppins" w:hAnsi="Poppins"/>
          <w:color w:val="3A3A3A"/>
          <w:sz w:val="22"/>
          <w:szCs w:val="22"/>
        </w:rPr>
        <w:t xml:space="preserve">Go to the Activity Access section and enter your username and password (or use the button to access the external negotiation platform).</w:t>
      </w:r>
    </w:p>
    <w:p>
      <w:pPr>
        <w:pStyle w:val="ListParagraph"/>
        <w:numPr>
          <w:ilvl w:val="0"/>
          <w:numId w:val="2"/>
        </w:numPr>
        <w:spacing w:after="80"/>
      </w:pPr>
      <w:r>
        <w:rPr>
          <w:rFonts w:ascii="Poppins" w:cs="Poppins" w:eastAsia="Poppins" w:hAnsi="Poppins"/>
          <w:color w:val="3A3A3A"/>
          <w:sz w:val="22"/>
          <w:szCs w:val="22"/>
        </w:rPr>
        <w:t xml:space="preserve">Enter your Institute Code when prompted, then start the activity.</w:t>
      </w:r>
    </w:p>
    <w:tbl>
      <w:tblPr>
        <w:tblW w:type="pct" w:w="100%"/>
        <w:tblBorders>
          <w:top w:val="single" w:color="FCB434" w:sz="12"/>
          <w:left w:val="single" w:color="FCB434" w:sz="24"/>
          <w:bottom w:val="single" w:color="FCB434" w:sz="12"/>
          <w:right w:val="single" w:color="FCB434" w:sz="12"/>
          <w:insideH w:val="single" w:color="auto" w:sz="4"/>
          <w:insideV w:val="single" w:color="auto" w:sz="4"/>
        </w:tblBorders>
      </w:tblPr>
      <w:tblGrid>
        <w:gridCol w:w="100"/>
      </w:tblGrid>
      <w:tr>
        <w:tc>
          <w:tcPr>
            <w:tcW w:type="pct" w:w="100%"/>
            <w:shd w:fill="FFF6E6" w:val="clear"/>
            <w:tcMar>
              <w:top w:type="dxa" w:w="180"/>
              <w:left w:type="dxa" w:w="220"/>
              <w:bottom w:type="dxa" w:w="180"/>
              <w:right w:type="dxa" w:w="220"/>
            </w:tcMar>
          </w:tcPr>
          <w:p>
            <w:pPr>
              <w:spacing w:after="60"/>
            </w:pPr>
            <w:r>
              <w:rPr>
                <w:rFonts w:ascii="Poppins" w:cs="Poppins" w:eastAsia="Poppins" w:hAnsi="Poppins"/>
                <w:b/>
                <w:bCs/>
                <w:color w:val="E84E1B"/>
                <w:sz w:val="19"/>
                <w:szCs w:val="19"/>
              </w:rPr>
              <w:t xml:space="preserve">IMPORTANT</w:t>
            </w:r>
          </w:p>
          <w:p>
            <w:r>
              <w:rPr>
                <w:rFonts w:ascii="Poppins" w:cs="Poppins" w:eastAsia="Poppins" w:hAnsi="Poppins"/>
                <w:color w:val="222222"/>
                <w:sz w:val="22"/>
                <w:szCs w:val="22"/>
              </w:rPr>
              <w:t xml:space="preserve">You must enter your Institute Code to access the activity. It is provided by your institution or teacher — if you don't have it, ask your teacher before the session starts.</w:t>
            </w:r>
          </w:p>
        </w:tc>
      </w:tr>
    </w:tbl>
    <w:p>
      <w:pPr>
        <w:pStyle w:val="Heading2"/>
        <w:spacing w:after="140" w:before="260"/>
      </w:pPr>
      <w:r>
        <w:rPr>
          <w:rFonts w:ascii="Poppins" w:cs="Poppins" w:eastAsia="Poppins" w:hAnsi="Poppins"/>
          <w:b/>
          <w:bCs/>
          <w:color w:val="468BD0"/>
          <w:sz w:val="25"/>
          <w:szCs w:val="25"/>
        </w:rPr>
        <w:t xml:space="preserve">Where do I find my Institute Code?</w:t>
      </w:r>
    </w:p>
    <w:p>
      <w:pPr>
        <w:spacing w:after="160"/>
      </w:pPr>
      <w:r>
        <w:rPr>
          <w:rFonts w:ascii="Poppins" w:cs="Poppins" w:eastAsia="Poppins" w:hAnsi="Poppins"/>
          <w:color w:val="3A3A3A"/>
          <w:sz w:val="22"/>
          <w:szCs w:val="22"/>
        </w:rPr>
        <w:t xml:space="preserve">Your teacher provides the Institute Code for your class or group. It typically looks like a short alphanumeric code (e.g., ABC123) and identifies your institution within the platform. You can also check the Help section inside the Negotiation Module for guidance.</w:t>
      </w:r>
    </w:p>
    <w:p>
      <w:pPr>
        <w:pStyle w:val="Heading1"/>
        <w:pBdr>
          <w:bottom w:val="single" w:color="FCB434" w:sz="18" w:space="6"/>
        </w:pBdr>
        <w:spacing w:after="200" w:before="300"/>
      </w:pPr>
      <w:r>
        <w:rPr>
          <w:rFonts w:ascii="Poppins" w:cs="Poppins" w:eastAsia="Poppins" w:hAnsi="Poppins"/>
          <w:b/>
          <w:bCs/>
          <w:color w:val="0C4494"/>
          <w:sz w:val="32"/>
          <w:szCs w:val="32"/>
        </w:rPr>
        <w:t xml:space="preserve">Your Role</w:t>
      </w:r>
    </w:p>
    <w:p>
      <w:pPr>
        <w:spacing w:after="160"/>
      </w:pPr>
      <w:r>
        <w:rPr>
          <w:rFonts w:ascii="Poppins" w:cs="Poppins" w:eastAsia="Poppins" w:hAnsi="Poppins"/>
          <w:color w:val="3A3A3A"/>
          <w:sz w:val="22"/>
          <w:szCs w:val="22"/>
        </w:rPr>
        <w:t xml:space="preserve">You will be assigned one of the following roles. Each role has its own goals, constraints, and confidential information, shared with you separately — read it carefully and do not disclose it to the other party.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0C4494" w:val="clear"/>
            <w:tcMar>
              <w:top w:type="dxa" w:w="100"/>
              <w:left w:type="dxa" w:w="120"/>
              <w:bottom w:type="dxa" w:w="100"/>
              <w:right w:type="dxa" w:w="120"/>
            </w:tcMar>
            <w:vAlign w:val="center"/>
          </w:tcPr>
          <w:p>
            <w:r>
              <w:rPr>
                <w:rFonts w:ascii="Poppins" w:cs="Poppins" w:eastAsia="Poppins" w:hAnsi="Poppins"/>
                <w:b/>
                <w:bCs/>
                <w:color w:val="FFFFFF"/>
                <w:sz w:val="20"/>
                <w:szCs w:val="20"/>
              </w:rPr>
              <w:t xml:space="preserve">Role</w:t>
            </w:r>
          </w:p>
        </w:tc>
        <w:tc>
          <w:tcPr>
            <w:tcW w:type="dxa" w:w="3200"/>
            <w:shd w:fill="0C4494" w:val="clear"/>
            <w:tcMar>
              <w:top w:type="dxa" w:w="100"/>
              <w:left w:type="dxa" w:w="120"/>
              <w:bottom w:type="dxa" w:w="100"/>
              <w:right w:type="dxa" w:w="120"/>
            </w:tcMar>
            <w:vAlign w:val="center"/>
          </w:tcPr>
          <w:p>
            <w:r>
              <w:rPr>
                <w:rFonts w:ascii="Poppins" w:cs="Poppins" w:eastAsia="Poppins" w:hAnsi="Poppins"/>
                <w:b/>
                <w:bCs/>
                <w:color w:val="FFFFFF"/>
                <w:sz w:val="20"/>
                <w:szCs w:val="20"/>
              </w:rPr>
              <w:t xml:space="preserve">Represents</w:t>
            </w:r>
          </w:p>
        </w:tc>
        <w:tc>
          <w:tcPr>
            <w:tcW w:type="dxa" w:w="3150"/>
            <w:shd w:fill="0C4494" w:val="clear"/>
            <w:tcMar>
              <w:top w:type="dxa" w:w="100"/>
              <w:left w:type="dxa" w:w="120"/>
              <w:bottom w:type="dxa" w:w="100"/>
              <w:right w:type="dxa" w:w="120"/>
            </w:tcMar>
            <w:vAlign w:val="center"/>
          </w:tcPr>
          <w:p>
            <w:r>
              <w:rPr>
                <w:rFonts w:ascii="Poppins" w:cs="Poppins" w:eastAsia="Poppins" w:hAnsi="Poppins"/>
                <w:b/>
                <w:bCs/>
                <w:color w:val="FFFFFF"/>
                <w:sz w:val="20"/>
                <w:szCs w:val="20"/>
              </w:rPr>
              <w:t xml:space="preserve">Main Focus</w:t>
            </w:r>
          </w:p>
        </w:tc>
      </w:tr>
      <w:tr>
        <w:tc>
          <w:tcPr>
            <w:tcW w:type="dxa" w:w="300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Carrier Sales Director</w:t>
            </w:r>
          </w:p>
        </w:tc>
        <w:tc>
          <w:tcPr>
            <w:tcW w:type="dxa" w:w="320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Atlantic Shipping Lines</w:t>
            </w:r>
          </w:p>
        </w:tc>
        <w:tc>
          <w:tcPr>
            <w:tcW w:type="dxa" w:w="315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Secures rate and volume commitments that protect margins.</w:t>
            </w:r>
          </w:p>
        </w:tc>
      </w:tr>
      <w:tr>
        <w:tc>
          <w:tcPr>
            <w:tcW w:type="dxa" w:w="3000"/>
            <w:shd w:fill="F5F8FC" w:val="clear"/>
            <w:tcMar>
              <w:top w:type="dxa" w:w="90"/>
              <w:left w:type="dxa" w:w="120"/>
              <w:bottom w:type="dxa" w:w="90"/>
              <w:right w:type="dxa" w:w="120"/>
            </w:tcMar>
            <w:vAlign w:val="center"/>
          </w:tcPr>
          <w:p>
            <w:r>
              <w:rPr>
                <w:rFonts w:ascii="Poppins" w:cs="Poppins" w:eastAsia="Poppins" w:hAnsi="Poppins"/>
                <w:color w:val="3A3A3A"/>
                <w:sz w:val="20"/>
                <w:szCs w:val="20"/>
              </w:rPr>
              <w:t xml:space="preserve">Carrier Operations Manager</w:t>
            </w:r>
          </w:p>
        </w:tc>
        <w:tc>
          <w:tcPr>
            <w:tcW w:type="dxa" w:w="3200"/>
            <w:shd w:fill="F5F8FC" w:val="clear"/>
            <w:tcMar>
              <w:top w:type="dxa" w:w="90"/>
              <w:left w:type="dxa" w:w="120"/>
              <w:bottom w:type="dxa" w:w="90"/>
              <w:right w:type="dxa" w:w="120"/>
            </w:tcMar>
            <w:vAlign w:val="center"/>
          </w:tcPr>
          <w:p>
            <w:r>
              <w:rPr>
                <w:rFonts w:ascii="Poppins" w:cs="Poppins" w:eastAsia="Poppins" w:hAnsi="Poppins"/>
                <w:color w:val="3A3A3A"/>
                <w:sz w:val="20"/>
                <w:szCs w:val="20"/>
              </w:rPr>
              <w:t xml:space="preserve">Atlantic Shipping Lines</w:t>
            </w:r>
          </w:p>
        </w:tc>
        <w:tc>
          <w:tcPr>
            <w:tcW w:type="dxa" w:w="3150"/>
            <w:shd w:fill="F5F8FC" w:val="clear"/>
            <w:tcMar>
              <w:top w:type="dxa" w:w="90"/>
              <w:left w:type="dxa" w:w="120"/>
              <w:bottom w:type="dxa" w:w="90"/>
              <w:right w:type="dxa" w:w="120"/>
            </w:tcMar>
            <w:vAlign w:val="center"/>
          </w:tcPr>
          <w:p>
            <w:r>
              <w:rPr>
                <w:rFonts w:ascii="Poppins" w:cs="Poppins" w:eastAsia="Poppins" w:hAnsi="Poppins"/>
                <w:color w:val="3A3A3A"/>
                <w:sz w:val="20"/>
                <w:szCs w:val="20"/>
              </w:rPr>
              <w:t xml:space="preserve">Ensures service levels and schedules are realistic.</w:t>
            </w:r>
          </w:p>
        </w:tc>
      </w:tr>
      <w:tr>
        <w:tc>
          <w:tcPr>
            <w:tcW w:type="dxa" w:w="300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Forwarder Procurement Manager</w:t>
            </w:r>
          </w:p>
        </w:tc>
        <w:tc>
          <w:tcPr>
            <w:tcW w:type="dxa" w:w="320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Meridian Import-Export Co.</w:t>
            </w:r>
          </w:p>
        </w:tc>
        <w:tc>
          <w:tcPr>
            <w:tcW w:type="dxa" w:w="315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Negotiates the lowest sustainable freight cost.</w:t>
            </w:r>
          </w:p>
        </w:tc>
      </w:tr>
      <w:tr>
        <w:tc>
          <w:tcPr>
            <w:tcW w:type="dxa" w:w="3000"/>
            <w:shd w:fill="F5F8FC" w:val="clear"/>
            <w:tcMar>
              <w:top w:type="dxa" w:w="90"/>
              <w:left w:type="dxa" w:w="120"/>
              <w:bottom w:type="dxa" w:w="90"/>
              <w:right w:type="dxa" w:w="120"/>
            </w:tcMar>
            <w:vAlign w:val="center"/>
          </w:tcPr>
          <w:p>
            <w:r>
              <w:rPr>
                <w:rFonts w:ascii="Poppins" w:cs="Poppins" w:eastAsia="Poppins" w:hAnsi="Poppins"/>
                <w:color w:val="3A3A3A"/>
                <w:sz w:val="20"/>
                <w:szCs w:val="20"/>
              </w:rPr>
              <w:t xml:space="preserve">Forwarder Logistics Coordinator</w:t>
            </w:r>
          </w:p>
        </w:tc>
        <w:tc>
          <w:tcPr>
            <w:tcW w:type="dxa" w:w="3200"/>
            <w:shd w:fill="F5F8FC" w:val="clear"/>
            <w:tcMar>
              <w:top w:type="dxa" w:w="90"/>
              <w:left w:type="dxa" w:w="120"/>
              <w:bottom w:type="dxa" w:w="90"/>
              <w:right w:type="dxa" w:w="120"/>
            </w:tcMar>
            <w:vAlign w:val="center"/>
          </w:tcPr>
          <w:p>
            <w:r>
              <w:rPr>
                <w:rFonts w:ascii="Poppins" w:cs="Poppins" w:eastAsia="Poppins" w:hAnsi="Poppins"/>
                <w:color w:val="3A3A3A"/>
                <w:sz w:val="20"/>
                <w:szCs w:val="20"/>
              </w:rPr>
              <w:t xml:space="preserve">Meridian Import-Export Co.</w:t>
            </w:r>
          </w:p>
        </w:tc>
        <w:tc>
          <w:tcPr>
            <w:tcW w:type="dxa" w:w="3150"/>
            <w:shd w:fill="F5F8FC" w:val="clear"/>
            <w:tcMar>
              <w:top w:type="dxa" w:w="90"/>
              <w:left w:type="dxa" w:w="120"/>
              <w:bottom w:type="dxa" w:w="90"/>
              <w:right w:type="dxa" w:w="120"/>
            </w:tcMar>
            <w:vAlign w:val="center"/>
          </w:tcPr>
          <w:p>
            <w:r>
              <w:rPr>
                <w:rFonts w:ascii="Poppins" w:cs="Poppins" w:eastAsia="Poppins" w:hAnsi="Poppins"/>
                <w:color w:val="3A3A3A"/>
                <w:sz w:val="20"/>
                <w:szCs w:val="20"/>
              </w:rPr>
              <w:t xml:space="preserve">Secures reliable capacity and flexible terms.</w:t>
            </w:r>
          </w:p>
        </w:tc>
      </w:tr>
    </w:tbl>
    <w:p>
      <w:pPr>
        <w:spacing w:after="160"/>
      </w:pPr>
      <w:r>
        <w:rPr>
          <w:rFonts w:ascii="Poppins" w:cs="Poppins" w:eastAsia="Poppins" w:hAnsi="Poppins"/>
          <w:color w:val="3A3A3A"/>
          <w:sz w:val="22"/>
          <w:szCs w:val="22"/>
        </w:rPr>
        <w:t xml:space="preserve">If your class works in pairs rather than groups of four, your teacher will let you know which two roles to combine.</w:t>
      </w:r>
    </w:p>
    <w:p>
      <w:pPr>
        <w:pStyle w:val="Heading1"/>
        <w:pBdr>
          <w:bottom w:val="single" w:color="FCB434" w:sz="18" w:space="6"/>
        </w:pBdr>
        <w:spacing w:after="200" w:before="300"/>
      </w:pPr>
      <w:r>
        <w:rPr>
          <w:rFonts w:ascii="Poppins" w:cs="Poppins" w:eastAsia="Poppins" w:hAnsi="Poppins"/>
          <w:b/>
          <w:bCs/>
          <w:color w:val="0C4494"/>
          <w:sz w:val="32"/>
          <w:szCs w:val="32"/>
        </w:rPr>
        <w:t xml:space="preserve">Activity Rules</w:t>
      </w:r>
    </w:p>
    <w:p>
      <w:pPr>
        <w:pStyle w:val="ListParagraph"/>
        <w:numPr>
          <w:ilvl w:val="0"/>
          <w:numId w:val="1"/>
        </w:numPr>
        <w:spacing w:after="80"/>
      </w:pPr>
      <w:r>
        <w:rPr>
          <w:rFonts w:ascii="Poppins" w:cs="Poppins" w:eastAsia="Poppins" w:hAnsi="Poppins"/>
          <w:color w:val="3A3A3A"/>
          <w:sz w:val="22"/>
          <w:szCs w:val="22"/>
        </w:rPr>
        <w:t xml:space="preserve">Read and prepare using only your own confidential role brief — do not show it to the other party.</w:t>
      </w:r>
    </w:p>
    <w:p>
      <w:pPr>
        <w:pStyle w:val="ListParagraph"/>
        <w:numPr>
          <w:ilvl w:val="0"/>
          <w:numId w:val="1"/>
        </w:numPr>
        <w:spacing w:after="80"/>
      </w:pPr>
      <w:r>
        <w:rPr>
          <w:rFonts w:ascii="Poppins" w:cs="Poppins" w:eastAsia="Poppins" w:hAnsi="Poppins"/>
          <w:color w:val="3A3A3A"/>
          <w:sz w:val="22"/>
          <w:szCs w:val="22"/>
        </w:rPr>
        <w:t xml:space="preserve">You have a fixed negotiation time (set by your teacher, typically 30–45 minutes). Manage it well.</w:t>
      </w:r>
    </w:p>
    <w:p>
      <w:pPr>
        <w:pStyle w:val="ListParagraph"/>
        <w:numPr>
          <w:ilvl w:val="0"/>
          <w:numId w:val="1"/>
        </w:numPr>
        <w:spacing w:after="80"/>
      </w:pPr>
      <w:r>
        <w:rPr>
          <w:rFonts w:ascii="Poppins" w:cs="Poppins" w:eastAsia="Poppins" w:hAnsi="Poppins"/>
          <w:color w:val="3A3A3A"/>
          <w:sz w:val="22"/>
          <w:szCs w:val="22"/>
        </w:rPr>
        <w:t xml:space="preserve">The negotiation must end with either a signed agreement or a declared impasse — there is no other outcome.</w:t>
      </w:r>
    </w:p>
    <w:p>
      <w:pPr>
        <w:pStyle w:val="ListParagraph"/>
        <w:numPr>
          <w:ilvl w:val="0"/>
          <w:numId w:val="1"/>
        </w:numPr>
        <w:spacing w:after="80"/>
      </w:pPr>
      <w:r>
        <w:rPr>
          <w:rFonts w:ascii="Poppins" w:cs="Poppins" w:eastAsia="Poppins" w:hAnsi="Poppins"/>
          <w:color w:val="3A3A3A"/>
          <w:sz w:val="22"/>
          <w:szCs w:val="22"/>
        </w:rPr>
        <w:t xml:space="preserve">You may take short breaks to consult your notes, but the overall time limit still applies.</w:t>
      </w:r>
    </w:p>
    <w:p>
      <w:pPr>
        <w:pStyle w:val="ListParagraph"/>
        <w:numPr>
          <w:ilvl w:val="0"/>
          <w:numId w:val="1"/>
        </w:numPr>
        <w:spacing w:after="80"/>
      </w:pPr>
      <w:r>
        <w:rPr>
          <w:rFonts w:ascii="Poppins" w:cs="Poppins" w:eastAsia="Poppins" w:hAnsi="Poppins"/>
          <w:color w:val="3A3A3A"/>
          <w:sz w:val="22"/>
          <w:szCs w:val="22"/>
        </w:rPr>
        <w:t xml:space="preserve">Behave professionally: no personal remarks, no sharing platform access with others, no use of unauthorized outside information.</w:t>
      </w:r>
    </w:p>
    <w:p>
      <w:pPr>
        <w:pStyle w:val="ListParagraph"/>
        <w:numPr>
          <w:ilvl w:val="0"/>
          <w:numId w:val="1"/>
        </w:numPr>
        <w:spacing w:after="80"/>
      </w:pPr>
      <w:r>
        <w:rPr>
          <w:rFonts w:ascii="Poppins" w:cs="Poppins" w:eastAsia="Poppins" w:hAnsi="Poppins"/>
          <w:color w:val="3A3A3A"/>
          <w:sz w:val="22"/>
          <w:szCs w:val="22"/>
        </w:rPr>
        <w:t xml:space="preserve">If you experience a technical issue, contact your teacher or use the Help section immediately.</w:t>
      </w:r>
    </w:p>
    <w:p>
      <w:pPr>
        <w:pStyle w:val="Heading1"/>
        <w:pBdr>
          <w:bottom w:val="single" w:color="FCB434" w:sz="18" w:space="6"/>
        </w:pBdr>
        <w:spacing w:after="200" w:before="300"/>
      </w:pPr>
      <w:r>
        <w:rPr>
          <w:rFonts w:ascii="Poppins" w:cs="Poppins" w:eastAsia="Poppins" w:hAnsi="Poppins"/>
          <w:b/>
          <w:bCs/>
          <w:color w:val="0C4494"/>
          <w:sz w:val="32"/>
          <w:szCs w:val="32"/>
        </w:rPr>
        <w:t xml:space="preserve">Assessment Criteria</w:t>
      </w:r>
    </w:p>
    <w:p>
      <w:pPr>
        <w:spacing w:after="160"/>
      </w:pPr>
      <w:r>
        <w:rPr>
          <w:rFonts w:ascii="Poppins" w:cs="Poppins" w:eastAsia="Poppins" w:hAnsi="Poppins"/>
          <w:color w:val="3A3A3A"/>
          <w:sz w:val="22"/>
          <w:szCs w:val="22"/>
        </w:rPr>
        <w:t xml:space="preserve">Your teacher will assess your performance using the following criteria. Ask for the full rubric if you want more detail on each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C4494" w:val="clear"/>
            <w:tcMar>
              <w:top w:type="dxa" w:w="100"/>
              <w:left w:type="dxa" w:w="120"/>
              <w:bottom w:type="dxa" w:w="100"/>
              <w:right w:type="dxa" w:w="120"/>
            </w:tcMar>
            <w:vAlign w:val="center"/>
          </w:tcPr>
          <w:p>
            <w:r>
              <w:rPr>
                <w:rFonts w:ascii="Poppins" w:cs="Poppins" w:eastAsia="Poppins" w:hAnsi="Poppins"/>
                <w:b/>
                <w:bCs/>
                <w:color w:val="FFFFFF"/>
                <w:sz w:val="20"/>
                <w:szCs w:val="20"/>
              </w:rPr>
              <w:t xml:space="preserve">Criterion</w:t>
            </w:r>
          </w:p>
        </w:tc>
        <w:tc>
          <w:tcPr>
            <w:tcW w:type="dxa" w:w="6150"/>
            <w:shd w:fill="0C4494" w:val="clear"/>
            <w:tcMar>
              <w:top w:type="dxa" w:w="100"/>
              <w:left w:type="dxa" w:w="120"/>
              <w:bottom w:type="dxa" w:w="100"/>
              <w:right w:type="dxa" w:w="120"/>
            </w:tcMar>
            <w:vAlign w:val="center"/>
          </w:tcPr>
          <w:p>
            <w:r>
              <w:rPr>
                <w:rFonts w:ascii="Poppins" w:cs="Poppins" w:eastAsia="Poppins" w:hAnsi="Poppins"/>
                <w:b/>
                <w:bCs/>
                <w:color w:val="FFFFFF"/>
                <w:sz w:val="20"/>
                <w:szCs w:val="20"/>
              </w:rPr>
              <w:t xml:space="preserve">What It Looks At</w:t>
            </w:r>
          </w:p>
        </w:tc>
      </w:tr>
      <w:tr>
        <w:tc>
          <w:tcPr>
            <w:tcW w:type="dxa" w:w="320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Preparation</w:t>
            </w:r>
          </w:p>
        </w:tc>
        <w:tc>
          <w:tcPr>
            <w:tcW w:type="dxa" w:w="615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Clarity of objectives, priorities, and walk-away position before the session.</w:t>
            </w:r>
          </w:p>
        </w:tc>
      </w:tr>
      <w:tr>
        <w:tc>
          <w:tcPr>
            <w:tcW w:type="dxa" w:w="3200"/>
            <w:shd w:fill="F5F8FC" w:val="clear"/>
            <w:tcMar>
              <w:top w:type="dxa" w:w="90"/>
              <w:left w:type="dxa" w:w="120"/>
              <w:bottom w:type="dxa" w:w="90"/>
              <w:right w:type="dxa" w:w="120"/>
            </w:tcMar>
            <w:vAlign w:val="center"/>
          </w:tcPr>
          <w:p>
            <w:r>
              <w:rPr>
                <w:rFonts w:ascii="Poppins" w:cs="Poppins" w:eastAsia="Poppins" w:hAnsi="Poppins"/>
                <w:color w:val="3A3A3A"/>
                <w:sz w:val="20"/>
                <w:szCs w:val="20"/>
              </w:rPr>
              <w:t xml:space="preserve">Communication</w:t>
            </w:r>
          </w:p>
        </w:tc>
        <w:tc>
          <w:tcPr>
            <w:tcW w:type="dxa" w:w="6150"/>
            <w:shd w:fill="F5F8FC" w:val="clear"/>
            <w:tcMar>
              <w:top w:type="dxa" w:w="90"/>
              <w:left w:type="dxa" w:w="120"/>
              <w:bottom w:type="dxa" w:w="90"/>
              <w:right w:type="dxa" w:w="120"/>
            </w:tcMar>
            <w:vAlign w:val="center"/>
          </w:tcPr>
          <w:p>
            <w:r>
              <w:rPr>
                <w:rFonts w:ascii="Poppins" w:cs="Poppins" w:eastAsia="Poppins" w:hAnsi="Poppins"/>
                <w:color w:val="3A3A3A"/>
                <w:sz w:val="20"/>
                <w:szCs w:val="20"/>
              </w:rPr>
              <w:t xml:space="preserve">Clear expression of interests and active listening to the other party.</w:t>
            </w:r>
          </w:p>
        </w:tc>
      </w:tr>
      <w:tr>
        <w:tc>
          <w:tcPr>
            <w:tcW w:type="dxa" w:w="320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Strategy</w:t>
            </w:r>
          </w:p>
        </w:tc>
        <w:tc>
          <w:tcPr>
            <w:tcW w:type="dxa" w:w="615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Use of trade-offs, framing, and creative options to move the negotiation forward.</w:t>
            </w:r>
          </w:p>
        </w:tc>
      </w:tr>
      <w:tr>
        <w:tc>
          <w:tcPr>
            <w:tcW w:type="dxa" w:w="3200"/>
            <w:shd w:fill="F5F8FC" w:val="clear"/>
            <w:tcMar>
              <w:top w:type="dxa" w:w="90"/>
              <w:left w:type="dxa" w:w="120"/>
              <w:bottom w:type="dxa" w:w="90"/>
              <w:right w:type="dxa" w:w="120"/>
            </w:tcMar>
            <w:vAlign w:val="center"/>
          </w:tcPr>
          <w:p>
            <w:r>
              <w:rPr>
                <w:rFonts w:ascii="Poppins" w:cs="Poppins" w:eastAsia="Poppins" w:hAnsi="Poppins"/>
                <w:color w:val="3A3A3A"/>
                <w:sz w:val="20"/>
                <w:szCs w:val="20"/>
              </w:rPr>
              <w:t xml:space="preserve">Outcome &amp; Value Creation</w:t>
            </w:r>
          </w:p>
        </w:tc>
        <w:tc>
          <w:tcPr>
            <w:tcW w:type="dxa" w:w="6150"/>
            <w:shd w:fill="F5F8FC" w:val="clear"/>
            <w:tcMar>
              <w:top w:type="dxa" w:w="90"/>
              <w:left w:type="dxa" w:w="120"/>
              <w:bottom w:type="dxa" w:w="90"/>
              <w:right w:type="dxa" w:w="120"/>
            </w:tcMar>
            <w:vAlign w:val="center"/>
          </w:tcPr>
          <w:p>
            <w:r>
              <w:rPr>
                <w:rFonts w:ascii="Poppins" w:cs="Poppins" w:eastAsia="Poppins" w:hAnsi="Poppins"/>
                <w:color w:val="3A3A3A"/>
                <w:sz w:val="20"/>
                <w:szCs w:val="20"/>
              </w:rPr>
              <w:t xml:space="preserve">Quality of the final agreement relative to your interests and the counterpart's.</w:t>
            </w:r>
          </w:p>
        </w:tc>
      </w:tr>
      <w:tr>
        <w:tc>
          <w:tcPr>
            <w:tcW w:type="dxa" w:w="320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Professionalism</w:t>
            </w:r>
          </w:p>
        </w:tc>
        <w:tc>
          <w:tcPr>
            <w:tcW w:type="dxa" w:w="6150"/>
            <w:shd w:fill="FFFFFF" w:val="clear"/>
            <w:tcMar>
              <w:top w:type="dxa" w:w="90"/>
              <w:left w:type="dxa" w:w="120"/>
              <w:bottom w:type="dxa" w:w="90"/>
              <w:right w:type="dxa" w:w="120"/>
            </w:tcMar>
            <w:vAlign w:val="center"/>
          </w:tcPr>
          <w:p>
            <w:r>
              <w:rPr>
                <w:rFonts w:ascii="Poppins" w:cs="Poppins" w:eastAsia="Poppins" w:hAnsi="Poppins"/>
                <w:color w:val="3A3A3A"/>
                <w:sz w:val="20"/>
                <w:szCs w:val="20"/>
              </w:rPr>
              <w:t xml:space="preserve">Respectful, constructive conduct throughout the exercise.</w:t>
            </w:r>
          </w:p>
        </w:tc>
      </w:tr>
    </w:tbl>
    <w:p>
      <w:pPr>
        <w:pStyle w:val="Heading1"/>
        <w:pBdr>
          <w:bottom w:val="single" w:color="FCB434" w:sz="18" w:space="6"/>
        </w:pBdr>
        <w:spacing w:after="200" w:before="300"/>
      </w:pPr>
      <w:r>
        <w:rPr>
          <w:rFonts w:ascii="Poppins" w:cs="Poppins" w:eastAsia="Poppins" w:hAnsi="Poppins"/>
          <w:b/>
          <w:bCs/>
          <w:color w:val="0C4494"/>
          <w:sz w:val="32"/>
          <w:szCs w:val="32"/>
        </w:rPr>
        <w:t xml:space="preserve">Recommendations &amp; Best Practices</w:t>
      </w:r>
    </w:p>
    <w:p>
      <w:pPr>
        <w:pStyle w:val="ListParagraph"/>
        <w:numPr>
          <w:ilvl w:val="0"/>
          <w:numId w:val="1"/>
        </w:numPr>
        <w:spacing w:after="80"/>
      </w:pPr>
      <w:r>
        <w:rPr>
          <w:rFonts w:ascii="Poppins" w:cs="Poppins" w:eastAsia="Poppins" w:hAnsi="Poppins"/>
          <w:color w:val="3A3A3A"/>
          <w:sz w:val="22"/>
          <w:szCs w:val="22"/>
        </w:rPr>
        <w:t xml:space="preserve">Separate your position (what you ask for) from your underlying interests (why you need it) — it opens up more options.</w:t>
      </w:r>
    </w:p>
    <w:p>
      <w:pPr>
        <w:pStyle w:val="ListParagraph"/>
        <w:numPr>
          <w:ilvl w:val="0"/>
          <w:numId w:val="1"/>
        </w:numPr>
        <w:spacing w:after="80"/>
      </w:pPr>
      <w:r>
        <w:rPr>
          <w:rFonts w:ascii="Poppins" w:cs="Poppins" w:eastAsia="Poppins" w:hAnsi="Poppins"/>
          <w:color w:val="3A3A3A"/>
          <w:sz w:val="22"/>
          <w:szCs w:val="22"/>
        </w:rPr>
        <w:t xml:space="preserve">Identify your walk-away point (BATNA) before the session so you know when to accept, hold, or leave the table.</w:t>
      </w:r>
    </w:p>
    <w:p>
      <w:pPr>
        <w:pStyle w:val="ListParagraph"/>
        <w:numPr>
          <w:ilvl w:val="0"/>
          <w:numId w:val="1"/>
        </w:numPr>
        <w:spacing w:after="80"/>
      </w:pPr>
      <w:r>
        <w:rPr>
          <w:rFonts w:ascii="Poppins" w:cs="Poppins" w:eastAsia="Poppins" w:hAnsi="Poppins"/>
          <w:color w:val="3A3A3A"/>
          <w:sz w:val="22"/>
          <w:szCs w:val="22"/>
        </w:rPr>
        <w:t xml:space="preserve">Ask questions and listen before making concessions — you often learn what the other party actually values.</w:t>
      </w:r>
    </w:p>
    <w:p>
      <w:pPr>
        <w:pStyle w:val="ListParagraph"/>
        <w:numPr>
          <w:ilvl w:val="0"/>
          <w:numId w:val="1"/>
        </w:numPr>
        <w:spacing w:after="80"/>
      </w:pPr>
      <w:r>
        <w:rPr>
          <w:rFonts w:ascii="Poppins" w:cs="Poppins" w:eastAsia="Poppins" w:hAnsi="Poppins"/>
          <w:color w:val="3A3A3A"/>
          <w:sz w:val="22"/>
          <w:szCs w:val="22"/>
        </w:rPr>
        <w:t xml:space="preserve">Look for trade-offs across issues (rate, volume, contract length, service terms) rather than negotiating one number in isolation.</w:t>
      </w:r>
    </w:p>
    <w:p>
      <w:pPr>
        <w:pStyle w:val="ListParagraph"/>
        <w:numPr>
          <w:ilvl w:val="0"/>
          <w:numId w:val="1"/>
        </w:numPr>
        <w:spacing w:after="80"/>
      </w:pPr>
      <w:r>
        <w:rPr>
          <w:rFonts w:ascii="Poppins" w:cs="Poppins" w:eastAsia="Poppins" w:hAnsi="Poppins"/>
          <w:color w:val="3A3A3A"/>
          <w:sz w:val="22"/>
          <w:szCs w:val="22"/>
        </w:rPr>
        <w:t xml:space="preserve">Keep a written record of offers and counter-offers — it helps you track progress and supports the debrief afterwards.</w:t>
      </w:r>
    </w:p>
    <w:p>
      <w:pPr>
        <w:pStyle w:val="Heading1"/>
        <w:pBdr>
          <w:bottom w:val="single" w:color="FCB434" w:sz="18" w:space="6"/>
        </w:pBdr>
        <w:spacing w:after="200" w:before="300"/>
      </w:pPr>
      <w:r>
        <w:rPr>
          <w:rFonts w:ascii="Poppins" w:cs="Poppins" w:eastAsia="Poppins" w:hAnsi="Poppins"/>
          <w:b/>
          <w:bCs/>
          <w:color w:val="0C4494"/>
          <w:sz w:val="32"/>
          <w:szCs w:val="32"/>
        </w:rPr>
        <w:t xml:space="preserve">Frequently Asked Questions</w:t>
      </w:r>
    </w:p>
    <w:p>
      <w:pPr>
        <w:spacing w:after="100" w:before="180"/>
      </w:pPr>
      <w:r>
        <w:rPr>
          <w:rFonts w:ascii="Poppins" w:cs="Poppins" w:eastAsia="Poppins" w:hAnsi="Poppins"/>
          <w:b/>
          <w:bCs/>
          <w:color w:val="E84E1B"/>
          <w:sz w:val="22"/>
          <w:szCs w:val="22"/>
        </w:rPr>
        <w:t xml:space="preserve">What happens if we can't reach an agreement?</w:t>
      </w:r>
    </w:p>
    <w:p>
      <w:pPr>
        <w:spacing w:after="160"/>
      </w:pPr>
      <w:r>
        <w:rPr>
          <w:rFonts w:ascii="Poppins" w:cs="Poppins" w:eastAsia="Poppins" w:hAnsi="Poppins"/>
          <w:color w:val="3A3A3A"/>
          <w:sz w:val="22"/>
          <w:szCs w:val="22"/>
        </w:rPr>
        <w:t xml:space="preserve">That's a valid outcome. Declare an impasse and be ready to explain, in the debrief, why no agreement was better than the alternatives on the table.</w:t>
      </w:r>
    </w:p>
    <w:p>
      <w:pPr>
        <w:spacing w:after="100" w:before="180"/>
      </w:pPr>
      <w:r>
        <w:rPr>
          <w:rFonts w:ascii="Poppins" w:cs="Poppins" w:eastAsia="Poppins" w:hAnsi="Poppins"/>
          <w:b/>
          <w:bCs/>
          <w:color w:val="E84E1B"/>
          <w:sz w:val="22"/>
          <w:szCs w:val="22"/>
        </w:rPr>
        <w:t xml:space="preserve">Can I renegotiate after the session ends?</w:t>
      </w:r>
    </w:p>
    <w:p>
      <w:pPr>
        <w:spacing w:after="160"/>
      </w:pPr>
      <w:r>
        <w:rPr>
          <w:rFonts w:ascii="Poppins" w:cs="Poppins" w:eastAsia="Poppins" w:hAnsi="Poppins"/>
          <w:color w:val="3A3A3A"/>
          <w:sz w:val="22"/>
          <w:szCs w:val="22"/>
        </w:rPr>
        <w:t xml:space="preserve">No. The activity is scored based on what is agreed (or not agreed) within the set time. Use the full time to explore options.</w:t>
      </w:r>
    </w:p>
    <w:p>
      <w:pPr>
        <w:spacing w:after="100" w:before="180"/>
      </w:pPr>
      <w:r>
        <w:rPr>
          <w:rFonts w:ascii="Poppins" w:cs="Poppins" w:eastAsia="Poppins" w:hAnsi="Poppins"/>
          <w:b/>
          <w:bCs/>
          <w:color w:val="E84E1B"/>
          <w:sz w:val="22"/>
          <w:szCs w:val="22"/>
        </w:rPr>
        <w:t xml:space="preserve">What if I lose my Institute Code or credentials?</w:t>
      </w:r>
    </w:p>
    <w:p>
      <w:pPr>
        <w:spacing w:after="160"/>
      </w:pPr>
      <w:r>
        <w:rPr>
          <w:rFonts w:ascii="Poppins" w:cs="Poppins" w:eastAsia="Poppins" w:hAnsi="Poppins"/>
          <w:color w:val="3A3A3A"/>
          <w:sz w:val="22"/>
          <w:szCs w:val="22"/>
        </w:rPr>
        <w:t xml:space="preserve">Contact your teacher as soon as possible — they can retrieve or reissue your access details.</w:t>
      </w:r>
    </w:p>
    <w:p>
      <w:pPr>
        <w:spacing w:after="100" w:before="180"/>
      </w:pPr>
      <w:r>
        <w:rPr>
          <w:rFonts w:ascii="Poppins" w:cs="Poppins" w:eastAsia="Poppins" w:hAnsi="Poppins"/>
          <w:b/>
          <w:bCs/>
          <w:color w:val="E84E1B"/>
          <w:sz w:val="22"/>
          <w:szCs w:val="22"/>
        </w:rPr>
        <w:t xml:space="preserve">Will I know how I did?</w:t>
      </w:r>
    </w:p>
    <w:p>
      <w:pPr>
        <w:spacing w:after="160"/>
      </w:pPr>
      <w:r>
        <w:rPr>
          <w:rFonts w:ascii="Poppins" w:cs="Poppins" w:eastAsia="Poppins" w:hAnsi="Poppins"/>
          <w:color w:val="3A3A3A"/>
          <w:sz w:val="22"/>
          <w:szCs w:val="22"/>
        </w:rPr>
        <w:t xml:space="preserve">Yes. Your teacher will run a debrief session and share feedback based on the assessment criteria above.</w:t>
      </w:r>
    </w:p>
    <w:p>
      <w:pPr>
        <w:pStyle w:val="Heading1"/>
        <w:pBdr>
          <w:bottom w:val="single" w:color="FCB434" w:sz="18" w:space="6"/>
        </w:pBdr>
        <w:spacing w:after="200" w:before="300"/>
      </w:pPr>
      <w:r>
        <w:rPr>
          <w:rFonts w:ascii="Poppins" w:cs="Poppins" w:eastAsia="Poppins" w:hAnsi="Poppins"/>
          <w:b/>
          <w:bCs/>
          <w:color w:val="0C4494"/>
          <w:sz w:val="32"/>
          <w:szCs w:val="32"/>
        </w:rPr>
        <w:t xml:space="preserve">What Happens Next?</w:t>
      </w:r>
    </w:p>
    <w:p>
      <w:pPr>
        <w:pStyle w:val="ListParagraph"/>
        <w:numPr>
          <w:ilvl w:val="0"/>
          <w:numId w:val="1"/>
        </w:numPr>
        <w:spacing w:after="80"/>
      </w:pPr>
      <w:r>
        <w:rPr>
          <w:rFonts w:ascii="Poppins" w:cs="Poppins" w:eastAsia="Poppins" w:hAnsi="Poppins"/>
          <w:color w:val="3A3A3A"/>
          <w:sz w:val="22"/>
          <w:szCs w:val="22"/>
        </w:rPr>
        <w:t xml:space="preserve">1. Enter your credentials.</w:t>
      </w:r>
    </w:p>
    <w:p>
      <w:pPr>
        <w:pStyle w:val="ListParagraph"/>
        <w:numPr>
          <w:ilvl w:val="0"/>
          <w:numId w:val="1"/>
        </w:numPr>
        <w:spacing w:after="80"/>
      </w:pPr>
      <w:r>
        <w:rPr>
          <w:rFonts w:ascii="Poppins" w:cs="Poppins" w:eastAsia="Poppins" w:hAnsi="Poppins"/>
          <w:color w:val="3A3A3A"/>
          <w:sz w:val="22"/>
          <w:szCs w:val="22"/>
        </w:rPr>
        <w:t xml:space="preserve">2. Enter your Institute Code.</w:t>
      </w:r>
    </w:p>
    <w:p>
      <w:pPr>
        <w:pStyle w:val="ListParagraph"/>
        <w:numPr>
          <w:ilvl w:val="0"/>
          <w:numId w:val="1"/>
        </w:numPr>
        <w:spacing w:after="80"/>
      </w:pPr>
      <w:r>
        <w:rPr>
          <w:rFonts w:ascii="Poppins" w:cs="Poppins" w:eastAsia="Poppins" w:hAnsi="Poppins"/>
          <w:color w:val="3A3A3A"/>
          <w:sz w:val="22"/>
          <w:szCs w:val="22"/>
        </w:rPr>
        <w:t xml:space="preserve">3. Access the negotiation simulation.</w:t>
      </w:r>
    </w:p>
    <w:p>
      <w:pPr>
        <w:pStyle w:val="ListParagraph"/>
        <w:numPr>
          <w:ilvl w:val="0"/>
          <w:numId w:val="1"/>
        </w:numPr>
        <w:spacing w:after="80"/>
      </w:pPr>
      <w:r>
        <w:rPr>
          <w:rFonts w:ascii="Poppins" w:cs="Poppins" w:eastAsia="Poppins" w:hAnsi="Poppins"/>
          <w:color w:val="3A3A3A"/>
          <w:sz w:val="22"/>
          <w:szCs w:val="22"/>
        </w:rPr>
        <w:t xml:space="preserve">4. Start negotiating!</w:t>
      </w:r>
    </w:p>
    <w:p>
      <w:pPr>
        <w:pStyle w:val="Heading1"/>
        <w:pBdr>
          <w:bottom w:val="single" w:color="FCB434" w:sz="18" w:space="6"/>
        </w:pBdr>
        <w:spacing w:after="200" w:before="300"/>
      </w:pPr>
      <w:r>
        <w:rPr>
          <w:rFonts w:ascii="Poppins" w:cs="Poppins" w:eastAsia="Poppins" w:hAnsi="Poppins"/>
          <w:b/>
          <w:bCs/>
          <w:color w:val="0C4494"/>
          <w:sz w:val="32"/>
          <w:szCs w:val="32"/>
        </w:rPr>
        <w:t xml:space="preserve">Need Help?</w:t>
      </w:r>
    </w:p>
    <w:p>
      <w:pPr>
        <w:spacing w:after="160"/>
      </w:pPr>
      <w:r>
        <w:rPr>
          <w:rFonts w:ascii="Poppins" w:cs="Poppins" w:eastAsia="Poppins" w:hAnsi="Poppins"/>
          <w:color w:val="3A3A3A"/>
          <w:sz w:val="22"/>
          <w:szCs w:val="22"/>
        </w:rPr>
        <w:t xml:space="preserve">If you have questions before, during, or after the activity, check the Help section inside Open Lab or contact your teacher directly.</w:t>
      </w:r>
    </w:p>
    <w:p>
      <w:pPr>
        <w:spacing w:after="160"/>
      </w:pPr>
      <w:r>
        <w:rPr>
          <w:rFonts w:ascii="Poppins" w:cs="Poppins" w:eastAsia="Poppins" w:hAnsi="Poppins"/>
          <w:b/>
          <w:bCs/>
          <w:i/>
          <w:iCs/>
          <w:color w:val="468BD0"/>
          <w:sz w:val="22"/>
          <w:szCs w:val="22"/>
        </w:rPr>
        <w:t xml:space="preserve">Good luck, and enjoy the negotiation!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999999"/>
        <w:sz w:val="16"/>
        <w:szCs w:val="16"/>
      </w:rPr>
      <w:t xml:space="preserve">Negotiation Module   |   </w:t>
    </w:r>
    <w:r>
      <w:rPr>
        <w:rFonts w:ascii="Poppins" w:cs="Poppins" w:eastAsia="Poppins" w:hAnsi="Poppins"/>
        <w:color w:val="999999"/>
        <w:sz w:val="16"/>
        <w:szCs w:val="16"/>
      </w:rPr>
      <w:t xml:space="preserve">Page </w:t>
    </w:r>
    <w:r>
      <w:rPr>
        <w:rFonts w:ascii="Poppins" w:cs="Poppins" w:eastAsia="Poppins" w:hAnsi="Poppins"/>
        <w:color w:val="999999"/>
        <w:sz w:val="16"/>
        <w:szCs w:val="16"/>
      </w:rPr>
      <w:fldChar w:fldCharType="begin"/>
      <w:instrText xml:space="preserve">PAGE</w:instrText>
      <w:fldChar w:fldCharType="separate"/>
      <w:fldChar w:fldCharType="end"/>
    </w:r>
    <w:r>
      <w:rPr>
        <w:rFonts w:ascii="Poppins" w:cs="Poppins" w:eastAsia="Poppins" w:hAnsi="Poppins"/>
        <w:color w:val="999999"/>
        <w:sz w:val="16"/>
        <w:szCs w:val="16"/>
      </w:rPr>
      <w:t xml:space="preserve"> of </w:t>
    </w:r>
    <w:r>
      <w:rPr>
        <w:rFonts w:ascii="Poppins" w:cs="Poppins" w:eastAsia="Poppins" w:hAnsi="Poppins"/>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CB434" w:sz="8" w:space="4"/>
      </w:pBdr>
      <w:tabs>
        <w:tab w:val="right" w:pos="9026"/>
      </w:tabs>
    </w:pPr>
    <w:r>
      <w:rPr>
        <w:rFonts w:ascii="Poppins" w:cs="Poppins" w:eastAsia="Poppins" w:hAnsi="Poppins"/>
        <w:b/>
        <w:bCs/>
        <w:color w:val="0C4494"/>
        <w:sz w:val="16"/>
        <w:szCs w:val="16"/>
      </w:rPr>
      <w:t xml:space="preserve">PORT VIRTUAL LAB</w:t>
    </w:r>
    <w:r>
      <w:rPr>
        <w:rFonts w:ascii="Poppins" w:cs="Poppins" w:eastAsia="Poppins" w:hAnsi="Poppins"/>
        <w:color w:val="468BD0"/>
        <w:sz w:val="16"/>
        <w:szCs w:val="16"/>
      </w:rPr>
      <w:t xml:space="preserve">	Student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cbd685a745009de9b66594fe93ef2ff205f99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2026-07-13T14:52:20.927Z</dcterms:created>
  <dcterms:modified xsi:type="dcterms:W3CDTF">2026-07-13T14:52:20.935Z</dcterms:modified>
</cp:coreProperties>
</file>

<file path=docProps/custom.xml><?xml version="1.0" encoding="utf-8"?>
<Properties xmlns="http://schemas.openxmlformats.org/officeDocument/2006/custom-properties" xmlns:vt="http://schemas.openxmlformats.org/officeDocument/2006/docPropsVTypes"/>
</file>