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4"/>
        </w:rPr>
        <w:t>Exploratory Data Analysis &amp; Business Insights Report</w:t>
      </w:r>
    </w:p>
    <w:p>
      <w:r>
        <w:rPr>
          <w:i/>
          <w:sz w:val="24"/>
        </w:rPr>
        <w:t>Project: Dynamic Delivery Time Prediction System | Statistical &amp; Behavioral Findings</w:t>
      </w:r>
    </w:p>
    <w:p>
      <w:r>
        <w:rPr>
          <w:color w:val="4B5563"/>
          <w:sz w:val="20"/>
        </w:rPr>
        <w:t>Author: M M D H Malporu  |  Student ID: IM/2023/015</w:t>
        <w:br/>
        <w:t>Group: Data Science Group 1</w:t>
        <w:br/>
        <w:t>Affiliation: Department of Industrial Management, University of Kelaniya</w:t>
        <w:br/>
        <w:t>Date: September 2026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Target Variable Analysis (delivery_days)</w:t>
      </w:r>
    </w:p>
    <w:p>
      <w:r>
        <w:t>Analysis of delivery_days across 96,460 completed orders reveals:</w:t>
        <w:br/>
        <w:t>• Mean Delivery Time: 12.56 days</w:t>
        <w:br/>
        <w:t>• Median Delivery Time: 10.22 days</w:t>
        <w:br/>
        <w:t>• Standard Deviation: 9.55 days</w:t>
        <w:br/>
        <w:t>• Interquartile Range (IQR): 6.77 to 15.72 days</w:t>
        <w:br/>
        <w:t>• Extreme Outlier Maximum: 209.63 days</w:t>
        <w:br/>
        <w:t>The distribution exhibits noticeable right-skewness, typical of last-mile logistics where exceptional disruptions (strikes, customs hold-ups, remote routing) create long delivery tails.</w:t>
      </w:r>
    </w:p>
    <w:p>
      <w:pPr>
        <w:pStyle w:val="Heading1"/>
      </w:pPr>
      <w:r>
        <w:t>2. Core Bivariate &amp; Correlation Insights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Correlation with Target</w:t>
            </w:r>
          </w:p>
        </w:tc>
        <w:tc>
          <w:tcPr>
            <w:tcW w:type="dxa" w:w="2880"/>
          </w:tcPr>
          <w:p>
            <w:r>
              <w:t>Logistics Interpretation</w:t>
            </w:r>
          </w:p>
        </w:tc>
      </w:tr>
      <w:tr>
        <w:tc>
          <w:tcPr>
            <w:tcW w:type="dxa" w:w="2880"/>
          </w:tcPr>
          <w:p>
            <w:r>
              <w:t>pct_items_same_state</w:t>
            </w:r>
          </w:p>
        </w:tc>
        <w:tc>
          <w:tcPr>
            <w:tcW w:type="dxa" w:w="2880"/>
          </w:tcPr>
          <w:p>
            <w:r>
              <w:t>-0.363</w:t>
            </w:r>
          </w:p>
        </w:tc>
        <w:tc>
          <w:tcPr>
            <w:tcW w:type="dxa" w:w="2880"/>
          </w:tcPr>
          <w:p>
            <w:r>
              <w:t>Strong negative association: intra-state deliveries complete nearly twice as fast.</w:t>
            </w:r>
          </w:p>
        </w:tc>
      </w:tr>
      <w:tr>
        <w:tc>
          <w:tcPr>
            <w:tcW w:type="dxa" w:w="2880"/>
          </w:tcPr>
          <w:p>
            <w:r>
              <w:t>same_state_delivery</w:t>
            </w:r>
          </w:p>
        </w:tc>
        <w:tc>
          <w:tcPr>
            <w:tcW w:type="dxa" w:w="2880"/>
          </w:tcPr>
          <w:p>
            <w:r>
              <w:t>-0.361</w:t>
            </w:r>
          </w:p>
        </w:tc>
        <w:tc>
          <w:tcPr>
            <w:tcW w:type="dxa" w:w="2880"/>
          </w:tcPr>
          <w:p>
            <w:r>
              <w:t>Intra-state orders average 7.95 days vs. 15.13 days for cross-state orders.</w:t>
            </w:r>
          </w:p>
        </w:tc>
      </w:tr>
      <w:tr>
        <w:tc>
          <w:tcPr>
            <w:tcW w:type="dxa" w:w="2880"/>
          </w:tcPr>
          <w:p>
            <w:r>
              <w:t>seller_avg_delivery_days</w:t>
            </w:r>
          </w:p>
        </w:tc>
        <w:tc>
          <w:tcPr>
            <w:tcW w:type="dxa" w:w="2880"/>
          </w:tcPr>
          <w:p>
            <w:r>
              <w:t>+0.271</w:t>
            </w:r>
          </w:p>
        </w:tc>
        <w:tc>
          <w:tcPr>
            <w:tcW w:type="dxa" w:w="2880"/>
          </w:tcPr>
          <w:p>
            <w:r>
              <w:t>Strongest positive driver: sellers with slow historical dispatch stay slow.</w:t>
            </w:r>
          </w:p>
        </w:tc>
      </w:tr>
      <w:tr>
        <w:tc>
          <w:tcPr>
            <w:tcW w:type="dxa" w:w="2880"/>
          </w:tcPr>
          <w:p>
            <w:r>
              <w:t>avg_freight_value</w:t>
            </w:r>
          </w:p>
        </w:tc>
        <w:tc>
          <w:tcPr>
            <w:tcW w:type="dxa" w:w="2880"/>
          </w:tcPr>
          <w:p>
            <w:r>
              <w:t>+0.216</w:t>
            </w:r>
          </w:p>
        </w:tc>
        <w:tc>
          <w:tcPr>
            <w:tcW w:type="dxa" w:w="2880"/>
          </w:tcPr>
          <w:p>
            <w:r>
              <w:t>Moderate positive correlation: acts as a proxy for transit distance and package bulk.</w:t>
            </w:r>
          </w:p>
        </w:tc>
      </w:tr>
      <w:tr>
        <w:tc>
          <w:tcPr>
            <w:tcW w:type="dxa" w:w="2880"/>
          </w:tcPr>
          <w:p>
            <w:r>
              <w:t>avg_product_weight_g</w:t>
            </w:r>
          </w:p>
        </w:tc>
        <w:tc>
          <w:tcPr>
            <w:tcW w:type="dxa" w:w="2880"/>
          </w:tcPr>
          <w:p>
            <w:r>
              <w:t>+0.081</w:t>
            </w:r>
          </w:p>
        </w:tc>
        <w:tc>
          <w:tcPr>
            <w:tcW w:type="dxa" w:w="2880"/>
          </w:tcPr>
          <w:p>
            <w:r>
              <w:t>Heavier items require ground freight handling, introducing transit delay.</w:t>
            </w:r>
          </w:p>
        </w:tc>
      </w:tr>
      <w:tr>
        <w:tc>
          <w:tcPr>
            <w:tcW w:type="dxa" w:w="2880"/>
          </w:tcPr>
          <w:p>
            <w:r>
              <w:t>is_weekend_order</w:t>
            </w:r>
          </w:p>
        </w:tc>
        <w:tc>
          <w:tcPr>
            <w:tcW w:type="dxa" w:w="2880"/>
          </w:tcPr>
          <w:p>
            <w:r>
              <w:t>+0.004</w:t>
            </w:r>
          </w:p>
        </w:tc>
        <w:tc>
          <w:tcPr>
            <w:tcW w:type="dxa" w:w="2880"/>
          </w:tcPr>
          <w:p>
            <w:r>
              <w:t>Counter-intuitive finding: weekend ordering has virtually zero impact on delivery latency.</w:t>
            </w:r>
          </w:p>
        </w:tc>
      </w:tr>
    </w:tbl>
    <w:p>
      <w:pPr>
        <w:pStyle w:val="Heading1"/>
      </w:pPr>
      <w:r>
        <w:t>3. Key Business Insights</w:t>
      </w:r>
    </w:p>
    <w:p>
      <w:r>
        <w:t>1. Geography Dominates Delivery Speed: Intra-state shipments average 7.95 days vs. 15.13 days for cross-state shipments. Eliminating cross-state routing where possible cuts delivery times in half.</w:t>
        <w:br/>
        <w:t>2. Seller Reliability Driver: Sellers with historical dispatch delays consistently produce late deliveries (r = +0.27), indicating that merchant handling times dictate customer satisfaction.</w:t>
        <w:br/>
        <w:t>3. Freight Value as a Distance Proxy: Higher freight cost correlates with longer transit (r = +0.22) because cross-regional freight pricing reflects geographical distance.</w:t>
        <w:br/>
        <w:t>4. Product Category Speed Gap: Office furniture is slowest (~20.7 days), while Food and Health &amp; Beauty are fastest (~9.8 days).</w:t>
        <w:br/>
        <w:t>5. Weekend Invariant: Weekend ordering does not meaningfully degrade delivery speed (r = 0.0039), indicating that Monday carrier processing absorbs weekend volume smoothly.</w:t>
      </w:r>
    </w:p>
    <w:p>
      <w:pPr>
        <w:pStyle w:val="Heading1"/>
      </w:pPr>
      <w:r>
        <w:t>4. Operational Recommendations</w:t>
      </w:r>
    </w:p>
    <w:p>
      <w:r>
        <w:t>• Dynamic Checkout SLA: Replace flat delivery dates with origin-destination specific delivery windows.</w:t>
        <w:br/>
        <w:t>• Merchant Scorecarding: Enforce merchant dispatch SLAs; route high-volume orders to historically reliable sellers.</w:t>
        <w:br/>
        <w:t>• Strategic Regional Hubs: Incentivize sellers to position fast-moving inventory near high-demand regions (such as São Paulo and Rio de Janeiro) to maximize same-state fulfillment.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