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Machine Learning Model Evaluation, Comparison &amp; Deployment Report</w:t>
      </w:r>
    </w:p>
    <w:p>
      <w:r>
        <w:rPr>
          <w:i/>
          <w:sz w:val="22"/>
        </w:rPr>
        <w:t>Project: Dynamic Delivery Time Prediction System | Weeks 07 &amp; 08 Comprehensive Milestone</w:t>
      </w:r>
    </w:p>
    <w:p>
      <w:r>
        <w:rPr>
          <w:color w:val="4B5563"/>
          <w:sz w:val="20"/>
        </w:rPr>
        <w:t>Author: M M D H Malporu  |  Student ID: IM/2023/015</w:t>
        <w:br/>
        <w:t>Group: Data Science Group 1</w:t>
        <w:br/>
        <w:t>Affiliation: Department of Industrial Management, University of Kelaniya</w:t>
        <w:br/>
        <w:t>Date: September 2026</w:t>
      </w:r>
    </w:p>
    <w:p>
      <w:r>
        <w:t>――――――――――――――――――――――――――――――――――――――――――――――――――</w:t>
      </w:r>
    </w:p>
    <w:p>
      <w:pPr>
        <w:pStyle w:val="Heading1"/>
      </w:pPr>
      <w:r>
        <w:t>1. Executive Summary &amp; Problem Framing</w:t>
      </w:r>
    </w:p>
    <w:p>
      <w:r>
        <w:t>To optimize last-mile e-commerce delivery estimates, we developed a supervised machine learning regression pipeline trained on 77,168 orders and evaluated on a held-out test set of 19,292 orders. This report documents the progressive comparison across four model architectures, 5-fold cross-validation, hyperparameter grid search, error diagnostics, and final serialization for real-time web deployment.</w:t>
      </w:r>
    </w:p>
    <w:p>
      <w:pPr>
        <w:pStyle w:val="Heading1"/>
      </w:pPr>
      <w:r>
        <w:t>2. Quantitative Model Performance Comparison</w:t>
      </w:r>
    </w:p>
    <w:p>
      <w:r>
        <w:t>All models were evaluated under identical preprocessing (StandardScaler + OneHotEncoder) and split conditions:</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Model Architecture</w:t>
            </w:r>
          </w:p>
        </w:tc>
        <w:tc>
          <w:tcPr>
            <w:tcW w:type="dxa" w:w="1234"/>
          </w:tcPr>
          <w:p>
            <w:r>
              <w:t>Train MAE</w:t>
            </w:r>
          </w:p>
        </w:tc>
        <w:tc>
          <w:tcPr>
            <w:tcW w:type="dxa" w:w="1234"/>
          </w:tcPr>
          <w:p>
            <w:r>
              <w:t>5-Fold CV MAE</w:t>
            </w:r>
          </w:p>
        </w:tc>
        <w:tc>
          <w:tcPr>
            <w:tcW w:type="dxa" w:w="1234"/>
          </w:tcPr>
          <w:p>
            <w:r>
              <w:t>Test MAE</w:t>
            </w:r>
          </w:p>
        </w:tc>
        <w:tc>
          <w:tcPr>
            <w:tcW w:type="dxa" w:w="1234"/>
          </w:tcPr>
          <w:p>
            <w:r>
              <w:t>Test RMSE</w:t>
            </w:r>
          </w:p>
        </w:tc>
        <w:tc>
          <w:tcPr>
            <w:tcW w:type="dxa" w:w="1234"/>
          </w:tcPr>
          <w:p>
            <w:r>
              <w:t>Test R²</w:t>
            </w:r>
          </w:p>
        </w:tc>
        <w:tc>
          <w:tcPr>
            <w:tcW w:type="dxa" w:w="1234"/>
          </w:tcPr>
          <w:p>
            <w:r>
              <w:t>Test MAPE</w:t>
            </w:r>
          </w:p>
        </w:tc>
      </w:tr>
      <w:tr>
        <w:tc>
          <w:tcPr>
            <w:tcW w:type="dxa" w:w="1234"/>
          </w:tcPr>
          <w:p>
            <w:r>
              <w:t>Naive Mean Baseline</w:t>
            </w:r>
          </w:p>
        </w:tc>
        <w:tc>
          <w:tcPr>
            <w:tcW w:type="dxa" w:w="1234"/>
          </w:tcPr>
          <w:p>
            <w:r>
              <w:t>6.412 d</w:t>
            </w:r>
          </w:p>
        </w:tc>
        <w:tc>
          <w:tcPr>
            <w:tcW w:type="dxa" w:w="1234"/>
          </w:tcPr>
          <w:p>
            <w:r>
              <w:t>6.412 +/- 0.036</w:t>
            </w:r>
          </w:p>
        </w:tc>
        <w:tc>
          <w:tcPr>
            <w:tcW w:type="dxa" w:w="1234"/>
          </w:tcPr>
          <w:p>
            <w:r>
              <w:t>6.433 d</w:t>
            </w:r>
          </w:p>
        </w:tc>
        <w:tc>
          <w:tcPr>
            <w:tcW w:type="dxa" w:w="1234"/>
          </w:tcPr>
          <w:p>
            <w:r>
              <w:t>9.739 d</w:t>
            </w:r>
          </w:p>
        </w:tc>
        <w:tc>
          <w:tcPr>
            <w:tcW w:type="dxa" w:w="1234"/>
          </w:tcPr>
          <w:p>
            <w:r>
              <w:t>0.000</w:t>
            </w:r>
          </w:p>
        </w:tc>
        <w:tc>
          <w:tcPr>
            <w:tcW w:type="dxa" w:w="1234"/>
          </w:tcPr>
          <w:p>
            <w:r>
              <w:t>81.9%</w:t>
            </w:r>
          </w:p>
        </w:tc>
      </w:tr>
      <w:tr>
        <w:tc>
          <w:tcPr>
            <w:tcW w:type="dxa" w:w="1234"/>
          </w:tcPr>
          <w:p>
            <w:r>
              <w:t>Ridge Regression</w:t>
            </w:r>
          </w:p>
        </w:tc>
        <w:tc>
          <w:tcPr>
            <w:tcW w:type="dxa" w:w="1234"/>
          </w:tcPr>
          <w:p>
            <w:r>
              <w:t>5.103 d</w:t>
            </w:r>
          </w:p>
        </w:tc>
        <w:tc>
          <w:tcPr>
            <w:tcW w:type="dxa" w:w="1234"/>
          </w:tcPr>
          <w:p>
            <w:r>
              <w:t>5.111 +/- 0.041</w:t>
            </w:r>
          </w:p>
        </w:tc>
        <w:tc>
          <w:tcPr>
            <w:tcW w:type="dxa" w:w="1234"/>
          </w:tcPr>
          <w:p>
            <w:r>
              <w:t>5.101 d</w:t>
            </w:r>
          </w:p>
        </w:tc>
        <w:tc>
          <w:tcPr>
            <w:tcW w:type="dxa" w:w="1234"/>
          </w:tcPr>
          <w:p>
            <w:r>
              <w:t>8.413 d</w:t>
            </w:r>
          </w:p>
        </w:tc>
        <w:tc>
          <w:tcPr>
            <w:tcW w:type="dxa" w:w="1234"/>
          </w:tcPr>
          <w:p>
            <w:r>
              <w:t>0.254</w:t>
            </w:r>
          </w:p>
        </w:tc>
        <w:tc>
          <w:tcPr>
            <w:tcW w:type="dxa" w:w="1234"/>
          </w:tcPr>
          <w:p>
            <w:r>
              <w:t>52.9%</w:t>
            </w:r>
          </w:p>
        </w:tc>
      </w:tr>
      <w:tr>
        <w:tc>
          <w:tcPr>
            <w:tcW w:type="dxa" w:w="1234"/>
          </w:tcPr>
          <w:p>
            <w:r>
              <w:t>Random Forest (50 trees)</w:t>
            </w:r>
          </w:p>
        </w:tc>
        <w:tc>
          <w:tcPr>
            <w:tcW w:type="dxa" w:w="1234"/>
          </w:tcPr>
          <w:p>
            <w:r>
              <w:t>4.411 d</w:t>
            </w:r>
          </w:p>
        </w:tc>
        <w:tc>
          <w:tcPr>
            <w:tcW w:type="dxa" w:w="1234"/>
          </w:tcPr>
          <w:p>
            <w:r>
              <w:t>4.767 +/- 0.032</w:t>
            </w:r>
          </w:p>
        </w:tc>
        <w:tc>
          <w:tcPr>
            <w:tcW w:type="dxa" w:w="1234"/>
          </w:tcPr>
          <w:p>
            <w:r>
              <w:t>4.706 d</w:t>
            </w:r>
          </w:p>
        </w:tc>
        <w:tc>
          <w:tcPr>
            <w:tcW w:type="dxa" w:w="1234"/>
          </w:tcPr>
          <w:p>
            <w:r>
              <w:t>8.153 d</w:t>
            </w:r>
          </w:p>
        </w:tc>
        <w:tc>
          <w:tcPr>
            <w:tcW w:type="dxa" w:w="1234"/>
          </w:tcPr>
          <w:p>
            <w:r>
              <w:t>0.299</w:t>
            </w:r>
          </w:p>
        </w:tc>
        <w:tc>
          <w:tcPr>
            <w:tcW w:type="dxa" w:w="1234"/>
          </w:tcPr>
          <w:p>
            <w:r>
              <w:t>47.3%</w:t>
            </w:r>
          </w:p>
        </w:tc>
      </w:tr>
      <w:tr>
        <w:tc>
          <w:tcPr>
            <w:tcW w:type="dxa" w:w="1234"/>
          </w:tcPr>
          <w:p>
            <w:r>
              <w:t>XGBoost (Baseline)</w:t>
            </w:r>
          </w:p>
        </w:tc>
        <w:tc>
          <w:tcPr>
            <w:tcW w:type="dxa" w:w="1234"/>
          </w:tcPr>
          <w:p>
            <w:r>
              <w:t>4.604 d</w:t>
            </w:r>
          </w:p>
        </w:tc>
        <w:tc>
          <w:tcPr>
            <w:tcW w:type="dxa" w:w="1234"/>
          </w:tcPr>
          <w:p>
            <w:r>
              <w:t>4.804 +/- 0.046</w:t>
            </w:r>
          </w:p>
        </w:tc>
        <w:tc>
          <w:tcPr>
            <w:tcW w:type="dxa" w:w="1234"/>
          </w:tcPr>
          <w:p>
            <w:r>
              <w:t>4.754 d</w:t>
            </w:r>
          </w:p>
        </w:tc>
        <w:tc>
          <w:tcPr>
            <w:tcW w:type="dxa" w:w="1234"/>
          </w:tcPr>
          <w:p>
            <w:r>
              <w:t>8.154 d</w:t>
            </w:r>
          </w:p>
        </w:tc>
        <w:tc>
          <w:tcPr>
            <w:tcW w:type="dxa" w:w="1234"/>
          </w:tcPr>
          <w:p>
            <w:r>
              <w:t>0.299</w:t>
            </w:r>
          </w:p>
        </w:tc>
        <w:tc>
          <w:tcPr>
            <w:tcW w:type="dxa" w:w="1234"/>
          </w:tcPr>
          <w:p>
            <w:r>
              <w:t>47.9%</w:t>
            </w:r>
          </w:p>
        </w:tc>
      </w:tr>
      <w:tr>
        <w:tc>
          <w:tcPr>
            <w:tcW w:type="dxa" w:w="1234"/>
          </w:tcPr>
          <w:p>
            <w:r>
              <w:t>Tuned XGBoost (Final)</w:t>
            </w:r>
          </w:p>
        </w:tc>
        <w:tc>
          <w:tcPr>
            <w:tcW w:type="dxa" w:w="1234"/>
          </w:tcPr>
          <w:p>
            <w:r>
              <w:t>4.312 d</w:t>
            </w:r>
          </w:p>
        </w:tc>
        <w:tc>
          <w:tcPr>
            <w:tcW w:type="dxa" w:w="1234"/>
          </w:tcPr>
          <w:p>
            <w:r>
              <w:t>4.617 +/- 0.038</w:t>
            </w:r>
          </w:p>
        </w:tc>
        <w:tc>
          <w:tcPr>
            <w:tcW w:type="dxa" w:w="1234"/>
          </w:tcPr>
          <w:p>
            <w:r>
              <w:t>4.560 d</w:t>
            </w:r>
          </w:p>
        </w:tc>
        <w:tc>
          <w:tcPr>
            <w:tcW w:type="dxa" w:w="1234"/>
          </w:tcPr>
          <w:p>
            <w:r>
              <w:t>8.002 d</w:t>
            </w:r>
          </w:p>
        </w:tc>
        <w:tc>
          <w:tcPr>
            <w:tcW w:type="dxa" w:w="1234"/>
          </w:tcPr>
          <w:p>
            <w:r>
              <w:t>0.325</w:t>
            </w:r>
          </w:p>
        </w:tc>
        <w:tc>
          <w:tcPr>
            <w:tcW w:type="dxa" w:w="1234"/>
          </w:tcPr>
          <w:p>
            <w:r>
              <w:t>46.1%</w:t>
            </w:r>
          </w:p>
        </w:tc>
      </w:tr>
    </w:tbl>
    <w:p>
      <w:pPr>
        <w:pStyle w:val="Heading1"/>
      </w:pPr>
      <w:r>
        <w:t>3. Overfitting &amp; Cross-Validation Audit</w:t>
      </w:r>
    </w:p>
    <w:p>
      <w:r>
        <w:t>• Stability: The 5-fold cross-validation standard deviation across all models remained strictly below ±0.05 days, confirming strong stability across data partitions.</w:t>
        <w:br/>
        <w:t>• Generalization Gap: For Tuned XGBoost, the generalization gap (Test MAE - Train MAE) was only +0.248 days (+5.7%), demonstrating healthy generalization without memorization.</w:t>
      </w:r>
    </w:p>
    <w:p>
      <w:pPr>
        <w:pStyle w:val="Heading1"/>
      </w:pPr>
      <w:r>
        <w:t>4. Feature Importance &amp; Operational Interpretation</w:t>
      </w:r>
    </w:p>
    <w:p>
      <w:r>
        <w:t>The top feature importance scores extracted from the final Tuned XGBoost pipeline confirm our EDA findings:</w:t>
        <w:br/>
        <w:t>1. pct_items_same_state (26.9% relative importance) — Primary decision split.</w:t>
        <w:br/>
        <w:t>2. Destination States: customer_state_SP (4.5%), customer_state_MG (4.4%), customer_state_PR (3.9%).</w:t>
        <w:br/>
        <w:t>3. Bulky Categories: top_category_home_appliances_2 (1.9%), office_furniture (1.6%).</w:t>
        <w:br/>
        <w:t>4. Merchant Track Record: seller_avg_delivery_days (1.5%).</w:t>
      </w:r>
    </w:p>
    <w:p>
      <w:pPr>
        <w:pStyle w:val="Heading1"/>
      </w:pPr>
      <w:r>
        <w:t>5. Segment-Level Error Diagnostics</w:t>
      </w:r>
    </w:p>
    <w:p>
      <w:r>
        <w:t>• Geographic Match: Same-State orders achieve a remarkable MAE of 3.05 days (Actual: 7.83d vs Predicted: 7.97d). Cross-state orders average an MAE of 5.42 days (Actual: 15.22d vs Predicted: 15.10d).</w:t>
        <w:br/>
        <w:t>• Regional Disparity: Orders delivering into São Paulo (SP) achieve an MAE of 3.28 days, whereas distant destinations such as Bahia (BA) and Rio de Janeiro (RJ) exhibit MAEs of 6.85 and 6.57 days.</w:t>
        <w:br/>
        <w:t>• Extreme Errors (Worst 1%): Extreme misses (&gt; 25 days error) occur almost exclusively in cross-state routes (94.8% cross-state) headed to remote northern/northeastern states (MA, PA, CE, BA).</w:t>
      </w:r>
    </w:p>
    <w:p>
      <w:pPr>
        <w:pStyle w:val="Heading1"/>
      </w:pPr>
      <w:r>
        <w:t>6. Final Candidate Model Selection (8-Dimension Rubric)</w:t>
      </w:r>
    </w:p>
    <w:p>
      <w:r>
        <w:t>The Tuned XGBoost Regressor is selected as the production model based on:</w:t>
        <w:br/>
        <w:t>1. Predictive Accuracy: Lowest MAE (4.560 days) and highest R² (0.325).</w:t>
        <w:br/>
        <w:t>2. Stability: Low cross-validation variance across 5 folds (±0.038d).</w:t>
        <w:br/>
        <w:t>3. Computational Latency: Sub-millisecond inference time (&lt; 1 ms per order).</w:t>
        <w:br/>
        <w:t>4. Deployment Feasibility: Compact serialized footprint (~987 KB in models/final_model.pkl) integrated into our interactive Streamlit application (app/app.py).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