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3993B" w14:textId="45B156EC" w:rsidR="00B307E0" w:rsidRPr="00B307E0" w:rsidRDefault="00B307E0" w:rsidP="00B30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Comprehensive Feature List for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Forecasting</w:t>
      </w:r>
      <w:r w:rsidRPr="00B307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Model</w:t>
      </w:r>
    </w:p>
    <w:p w14:paraId="6EBA1920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Total: ~118 features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(broken down below)</w:t>
      </w:r>
    </w:p>
    <w:p w14:paraId="7462DB04" w14:textId="77777777" w:rsidR="00B307E0" w:rsidRPr="00B307E0" w:rsidRDefault="00B307E0" w:rsidP="00B3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9CA262C">
          <v:rect id="_x0000_i1025" style="width:0;height:1.5pt" o:hralign="center" o:hrstd="t" o:hr="t" fillcolor="#a0a0a0" stroked="f"/>
        </w:pict>
      </w:r>
    </w:p>
    <w:p w14:paraId="0F7930C0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Lag Features (52 features)</w:t>
      </w:r>
    </w:p>
    <w:p w14:paraId="374FF8D0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Historical weekly cash flow values for the target entity-liquidity group combination.</w:t>
      </w:r>
    </w:p>
    <w:p w14:paraId="12090CD8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Lag_1    = Cash flow 1 week ago</w:t>
      </w:r>
    </w:p>
    <w:p w14:paraId="003E86AD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Lag_2    = Cash flow 2 weeks ago</w:t>
      </w:r>
    </w:p>
    <w:p w14:paraId="79C143E8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Lag_3    = Cash flow 3 weeks ago</w:t>
      </w:r>
    </w:p>
    <w:p w14:paraId="065709CE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...</w:t>
      </w:r>
    </w:p>
    <w:p w14:paraId="541FE2B3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Lag_52   = Cash flow 52 weeks ago (full year lookback)</w:t>
      </w:r>
    </w:p>
    <w:p w14:paraId="6648D613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Capture immediate momentum (Lag_1-4), monthly patterns (Lag_4-12), seasonal cycles (Lag_13-52)</w:t>
      </w:r>
    </w:p>
    <w:p w14:paraId="13498A12" w14:textId="77777777" w:rsidR="00B307E0" w:rsidRPr="00B307E0" w:rsidRDefault="00B307E0" w:rsidP="00B3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2752A1">
          <v:rect id="_x0000_i1026" style="width:0;height:1.5pt" o:hralign="center" o:hrstd="t" o:hr="t" fillcolor="#a0a0a0" stroked="f"/>
        </w:pict>
      </w:r>
    </w:p>
    <w:p w14:paraId="07428EFD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Rolling Statistics (18 features)</w:t>
      </w:r>
    </w:p>
    <w:p w14:paraId="1F74271A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2.1 Rolling Means (3 features)</w:t>
      </w:r>
    </w:p>
    <w:p w14:paraId="460CC3D9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Rolling_Mean_4wk   = Average of last 4 weeks</w:t>
      </w:r>
    </w:p>
    <w:p w14:paraId="72C22688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Rolling_Mean_12wk  = Average of last 12 weeks</w:t>
      </w:r>
    </w:p>
    <w:p w14:paraId="1D4D3348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Rolling_Mean_26wk  = Average of last 26 weeks</w:t>
      </w:r>
    </w:p>
    <w:p w14:paraId="35B51F02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2.2 Rolling Medians (3 features)</w:t>
      </w:r>
    </w:p>
    <w:p w14:paraId="00735F01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Rolling_Median_4wk</w:t>
      </w:r>
    </w:p>
    <w:p w14:paraId="65106395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Rolling_Median_12wk</w:t>
      </w:r>
    </w:p>
    <w:p w14:paraId="40C92A24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Rolling_Median_26wk</w:t>
      </w:r>
    </w:p>
    <w:p w14:paraId="0062724F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2.3 Rolling Standard Deviations (3 features)</w:t>
      </w:r>
    </w:p>
    <w:p w14:paraId="5BC80243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Rolling_Std_4wk    = Volatility measure (4-week window)</w:t>
      </w:r>
    </w:p>
    <w:p w14:paraId="230B9BB6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Rolling_Std_12wk   = Volatility measure (12-week window)</w:t>
      </w:r>
    </w:p>
    <w:p w14:paraId="0F614F0A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Rolling_Std_26wk   = Volatility measure (26-week window)</w:t>
      </w:r>
    </w:p>
    <w:p w14:paraId="2321F5C5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2.4 Rolling Min/Max (6 features)</w:t>
      </w:r>
    </w:p>
    <w:p w14:paraId="68DE56D0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Rolling_Min_4wk, Rolling_Max_4wk</w:t>
      </w:r>
    </w:p>
    <w:p w14:paraId="34B55802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Rolling_Min_12wk, Rolling_Max_12wk</w:t>
      </w:r>
    </w:p>
    <w:p w14:paraId="2BFE1487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Rolling_Min_26wk, Rolling_Max_26wk</w:t>
      </w:r>
    </w:p>
    <w:p w14:paraId="4D6643AD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2.5 Rolling Range (3 features)</w:t>
      </w:r>
    </w:p>
    <w:p w14:paraId="673F2C5F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Rolling_Range_4wk  = Max - Min over 4 weeks</w:t>
      </w:r>
    </w:p>
    <w:p w14:paraId="7D962142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Rolling_Range_12wk = Max - Min over 12 weeks</w:t>
      </w:r>
    </w:p>
    <w:p w14:paraId="0386DEA3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Rolling_Range_26wk = Max - Min over 26 weeks</w:t>
      </w:r>
    </w:p>
    <w:p w14:paraId="6817B7DA" w14:textId="77777777" w:rsidR="00B307E0" w:rsidRPr="00B307E0" w:rsidRDefault="00B307E0" w:rsidP="00B3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E99D304">
          <v:rect id="_x0000_i1027" style="width:0;height:1.5pt" o:hralign="center" o:hrstd="t" o:hr="t" fillcolor="#a0a0a0" stroked="f"/>
        </w:pict>
      </w:r>
    </w:p>
    <w:p w14:paraId="70F51F94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Calendar Features (12 features)</w:t>
      </w:r>
    </w:p>
    <w:p w14:paraId="06C95480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3.1 Temporal Indicators (4 features)</w:t>
      </w:r>
    </w:p>
    <w:p w14:paraId="74BB5CFB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Week_of_Year       = 1-52 (captures annual seasonality)</w:t>
      </w:r>
    </w:p>
    <w:p w14:paraId="52EB0903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Month              = 1-12 (payroll, month-end effects)</w:t>
      </w:r>
    </w:p>
    <w:p w14:paraId="1DC58D70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Quarter            = 1-4 (quarterly patterns)</w:t>
      </w:r>
    </w:p>
    <w:p w14:paraId="3ECFB0E5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Day_of_Week_Start  = Monday=1, Tuesday=2... (week start day)</w:t>
      </w:r>
    </w:p>
    <w:p w14:paraId="40C2054D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3.2 Binary Flags (8 features)</w:t>
      </w:r>
    </w:p>
    <w:p w14:paraId="6E523915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Is_Month_End       = 1 if week contains last day of month, else 0</w:t>
      </w:r>
    </w:p>
    <w:p w14:paraId="6364B9DC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Is_Quarter_End     = 1 if week contains last day of quarter, else 0</w:t>
      </w:r>
    </w:p>
    <w:p w14:paraId="2A3B2808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Is_Year_End        = 1 if week contains Dec 31, else 0</w:t>
      </w:r>
    </w:p>
    <w:p w14:paraId="3A7B7F17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Is_Holiday_Week    = 1 if week contains major EU holiday, else 0</w:t>
      </w:r>
    </w:p>
    <w:p w14:paraId="2EC77A6F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Week_Has_Monday_1st = 1 if month starts on Monday this week</w:t>
      </w:r>
    </w:p>
    <w:p w14:paraId="35B0CF70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Week_Spans_Months  = 1 if week crosses month boundary, else 0</w:t>
      </w:r>
    </w:p>
    <w:p w14:paraId="5B12D0BB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Days_in_Month      = 28, 29, 30, or 31</w:t>
      </w:r>
    </w:p>
    <w:p w14:paraId="7BDE75FD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Business_Days_in_Week = 5 typically, less if holidays</w:t>
      </w:r>
    </w:p>
    <w:p w14:paraId="206165DF" w14:textId="77777777" w:rsidR="00B307E0" w:rsidRPr="00B307E0" w:rsidRDefault="00B307E0" w:rsidP="00B3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E4102D7">
          <v:rect id="_x0000_i1028" style="width:0;height:1.5pt" o:hralign="center" o:hrstd="t" o:hr="t" fillcolor="#a0a0a0" stroked="f"/>
        </w:pict>
      </w:r>
    </w:p>
    <w:p w14:paraId="538DD255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Daily Pattern Features (8 features)</w:t>
      </w:r>
    </w:p>
    <w:p w14:paraId="02CAFB2C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Calculated from daily transaction data BEFORE aggregating to weekly</w:t>
      </w:r>
    </w:p>
    <w:p w14:paraId="401276DD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4.1 Transaction Concentration (4 features)</w:t>
      </w:r>
    </w:p>
    <w:p w14:paraId="1F66D8C0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Pct_Txn_Month_End_Day    = % of week's amount on month-end day</w:t>
      </w:r>
    </w:p>
    <w:p w14:paraId="47960DC6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Pct_Txn_First_Day        = % of week's amount on first day</w:t>
      </w:r>
    </w:p>
    <w:p w14:paraId="629B3E78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Pct_Txn_Last_Day         = % of week's amount on last day</w:t>
      </w:r>
    </w:p>
    <w:p w14:paraId="78B85DC1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Pct_Txn_Friday           = % of week's amount on Friday</w:t>
      </w:r>
    </w:p>
    <w:p w14:paraId="53F19EFC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4.2 Daily Volatility (2 features)</w:t>
      </w:r>
    </w:p>
    <w:p w14:paraId="776D1CB5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Daily_Std_Within_Week    = Std dev of daily amounts within the week</w:t>
      </w:r>
    </w:p>
    <w:p w14:paraId="2FF352ED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Daily_CV_Within_Week     = Coefficient of variation (std/mean) of daily amounts</w:t>
      </w:r>
    </w:p>
    <w:p w14:paraId="24C11BA7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4.3 Transaction Patterns (2 features)</w:t>
      </w:r>
    </w:p>
    <w:p w14:paraId="1F4E8912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lastRenderedPageBreak/>
        <w:t>Num_Days_With_Txn        = How many days (out of 7) had transactions</w:t>
      </w:r>
    </w:p>
    <w:p w14:paraId="22ED423F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Num_Transactions_Week    = Total count of transactions in the week</w:t>
      </w:r>
    </w:p>
    <w:p w14:paraId="0313220A" w14:textId="77777777" w:rsidR="00B307E0" w:rsidRPr="00B307E0" w:rsidRDefault="00B307E0" w:rsidP="00B3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F16C965">
          <v:rect id="_x0000_i1029" style="width:0;height:1.5pt" o:hralign="center" o:hrstd="t" o:hr="t" fillcolor="#a0a0a0" stroked="f"/>
        </w:pict>
      </w:r>
    </w:p>
    <w:p w14:paraId="100D8120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Trend Features (8 features)</w:t>
      </w:r>
    </w:p>
    <w:p w14:paraId="711F5189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5.1 Linear Trends (2 features)</w:t>
      </w:r>
    </w:p>
    <w:p w14:paraId="5987EC5B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Trend_Slope_12wk         = Linear regression slope over last 12 weeks</w:t>
      </w:r>
    </w:p>
    <w:p w14:paraId="4E833500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Trend_Slope_26wk         = Linear regression slope over last 26 weeks</w:t>
      </w:r>
    </w:p>
    <w:p w14:paraId="1A9527F4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5.2 Momentum Indicators (3 features)</w:t>
      </w:r>
    </w:p>
    <w:p w14:paraId="672A8525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Momentum_4wk             = (Avg last 4 weeks) - (Avg weeks 5-8)</w:t>
      </w:r>
    </w:p>
    <w:p w14:paraId="6542BD8C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Momentum_12wk            = (Avg last 12 weeks) - (Avg weeks 13-24)</w:t>
      </w:r>
    </w:p>
    <w:p w14:paraId="4C6E8D48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Pct_Change_4wk           = (Last 4wk avg - Prior 4wk avg) / Prior 4wk avg</w:t>
      </w:r>
    </w:p>
    <w:p w14:paraId="482EF2CD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5.3 Acceleration (2 features)</w:t>
      </w:r>
    </w:p>
    <w:p w14:paraId="4C256EAD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Acceleration_12wk        = Change in slope (current 12wk slope - prior 12wk slope)</w:t>
      </w:r>
    </w:p>
    <w:p w14:paraId="5313B245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Direction_Change         = 1 if trend reversed (positive→negative or vice versa), else 0</w:t>
      </w:r>
    </w:p>
    <w:p w14:paraId="35AAEF96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5.4 Relative Position (1 feature)</w:t>
      </w:r>
    </w:p>
    <w:p w14:paraId="79B62442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Pct_of_52wk_Max          = Current value / Max(last 52 weeks)</w:t>
      </w:r>
    </w:p>
    <w:p w14:paraId="5B99DEDA" w14:textId="77777777" w:rsidR="00B307E0" w:rsidRPr="00B307E0" w:rsidRDefault="00B307E0" w:rsidP="00B3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83918FD">
          <v:rect id="_x0000_i1030" style="width:0;height:1.5pt" o:hralign="center" o:hrstd="t" o:hr="t" fillcolor="#a0a0a0" stroked="f"/>
        </w:pict>
      </w:r>
    </w:p>
    <w:p w14:paraId="39073A2C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Liquidity Plan Features (4 features)</w:t>
      </w:r>
    </w:p>
    <w:p w14:paraId="654F6FD1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Treasury's forward-looking forecasts (domain expertise)</w:t>
      </w:r>
    </w:p>
    <w:p w14:paraId="338189DB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LP_W1    = Treasury's forecast for Week 1 ahead (in EUR)</w:t>
      </w:r>
    </w:p>
    <w:p w14:paraId="0B9263BD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LP_W2    = Treasury's forecast for Week 2 ahead (in EUR)</w:t>
      </w:r>
    </w:p>
    <w:p w14:paraId="0A090096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LP_W3    = Treasury's forecast for Week 3 ahead (in EUR)</w:t>
      </w:r>
    </w:p>
    <w:p w14:paraId="16683371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LP_W4    = Treasury's forecast for Week 4 ahead (in EUR)</w:t>
      </w:r>
    </w:p>
    <w:p w14:paraId="368A2B53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These may be NaN if entity doesn't provide full 4-week forecast. Tree models handle naturally.</w:t>
      </w:r>
    </w:p>
    <w:p w14:paraId="6DACEE9C" w14:textId="77777777" w:rsidR="00B307E0" w:rsidRPr="00B307E0" w:rsidRDefault="00B307E0" w:rsidP="00B3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180479A">
          <v:rect id="_x0000_i1031" style="width:0;height:1.5pt" o:hralign="center" o:hrstd="t" o:hr="t" fillcolor="#a0a0a0" stroked="f"/>
        </w:pict>
      </w:r>
    </w:p>
    <w:p w14:paraId="1E4AC040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Entity Encoding (16 features)</w:t>
      </w:r>
    </w:p>
    <w:p w14:paraId="34BE082E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7.1 Entity One-Hot Encoding (15 features)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Binary indicator for each Tier 1 entity:</w:t>
      </w:r>
    </w:p>
    <w:p w14:paraId="794C97A3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 xml:space="preserve">Entity_057, Entity_11G5, Entity_14C1, Entity_17C7, Entity_4B9, </w:t>
      </w:r>
    </w:p>
    <w:p w14:paraId="0A623AA2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Entity_86W, Entity_97C, Entity_97L, Entity_97R, Entity_98Y,</w:t>
      </w:r>
    </w:p>
    <w:p w14:paraId="75701A69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lastRenderedPageBreak/>
        <w:t>Entity_T055, Entity_T056, Entity_V002, Entity_V265, Entity_V508,</w:t>
      </w:r>
    </w:p>
    <w:p w14:paraId="68B22BDF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Entity_V751, Entity_V756, Entity_V798</w:t>
      </w:r>
    </w:p>
    <w:p w14:paraId="164A026D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Wait, that's 18 entities. Let me correct - you have </w:t>
      </w: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15 Tier 1 entities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(after excluding 82J, 20B2, 25A4).</w:t>
      </w:r>
    </w:p>
    <w:p w14:paraId="304BBF1A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So 15 one-hot encoded features (or 14 if you drop one as reference category to avoid multicollinearity).</w:t>
      </w:r>
    </w:p>
    <w:p w14:paraId="64EF286D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7.2 Liquidity Group Encoding (1 feature)</w:t>
      </w:r>
    </w:p>
    <w:p w14:paraId="45EED196" w14:textId="77777777" w:rsidR="00B307E0" w:rsidRPr="00B307E0" w:rsidRDefault="00B307E0" w:rsidP="00B307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</w:pPr>
      <w:r w:rsidRPr="00B307E0">
        <w:rPr>
          <w:rFonts w:ascii="var(--font-mono)" w:eastAsia="Times New Roman" w:hAnsi="var(--font-mono)" w:cs="Courier New"/>
          <w:color w:val="383A42"/>
          <w:sz w:val="20"/>
          <w:szCs w:val="20"/>
          <w:lang w:eastAsia="en-GB"/>
        </w:rPr>
        <w:t>Is_TRR   = 1 if Trade Receivables, 0 if Trade Payables</w:t>
      </w:r>
    </w:p>
    <w:p w14:paraId="75EB4839" w14:textId="77777777" w:rsidR="00B307E0" w:rsidRPr="00B307E0" w:rsidRDefault="00B307E0" w:rsidP="00B3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147A070">
          <v:rect id="_x0000_i1032" style="width:0;height:1.5pt" o:hralign="center" o:hrstd="t" o:hr="t" fillcolor="#a0a0a0" stroked="f"/>
        </w:pict>
      </w:r>
    </w:p>
    <w:p w14:paraId="5E3E9FA7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Feature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01"/>
        <w:gridCol w:w="4754"/>
      </w:tblGrid>
      <w:tr w:rsidR="00B307E0" w:rsidRPr="00B307E0" w14:paraId="54408891" w14:textId="77777777" w:rsidTr="00B30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FA7B4" w14:textId="77777777" w:rsidR="00B307E0" w:rsidRPr="00B307E0" w:rsidRDefault="00B307E0" w:rsidP="00B30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517CA7" w14:textId="77777777" w:rsidR="00B307E0" w:rsidRPr="00B307E0" w:rsidRDefault="00B307E0" w:rsidP="00B30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82811D3" w14:textId="77777777" w:rsidR="00B307E0" w:rsidRPr="00B307E0" w:rsidRDefault="00B307E0" w:rsidP="00B30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</w:tr>
      <w:tr w:rsidR="00B307E0" w:rsidRPr="00B307E0" w14:paraId="2BEC6022" w14:textId="77777777" w:rsidTr="00B30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165D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Lag Features</w:t>
            </w:r>
          </w:p>
        </w:tc>
        <w:tc>
          <w:tcPr>
            <w:tcW w:w="0" w:type="auto"/>
            <w:vAlign w:val="center"/>
            <w:hideMark/>
          </w:tcPr>
          <w:p w14:paraId="5F9AD902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283F8CB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Historical patterns (immediate, monthly, annual)</w:t>
            </w:r>
          </w:p>
        </w:tc>
      </w:tr>
      <w:tr w:rsidR="00B307E0" w:rsidRPr="00B307E0" w14:paraId="0510AAB5" w14:textId="77777777" w:rsidTr="00B30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D0C5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Rolling Statistics</w:t>
            </w:r>
          </w:p>
        </w:tc>
        <w:tc>
          <w:tcPr>
            <w:tcW w:w="0" w:type="auto"/>
            <w:vAlign w:val="center"/>
            <w:hideMark/>
          </w:tcPr>
          <w:p w14:paraId="39C5D5EE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5ACE66C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Trend and volatility measurement</w:t>
            </w:r>
          </w:p>
        </w:tc>
      </w:tr>
      <w:tr w:rsidR="00B307E0" w:rsidRPr="00B307E0" w14:paraId="6F710516" w14:textId="77777777" w:rsidTr="00B30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A3C3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Calendar Features</w:t>
            </w:r>
          </w:p>
        </w:tc>
        <w:tc>
          <w:tcPr>
            <w:tcW w:w="0" w:type="auto"/>
            <w:vAlign w:val="center"/>
            <w:hideMark/>
          </w:tcPr>
          <w:p w14:paraId="01A47105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9085FD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Temporal and seasonal effects</w:t>
            </w:r>
          </w:p>
        </w:tc>
      </w:tr>
      <w:tr w:rsidR="00B307E0" w:rsidRPr="00B307E0" w14:paraId="095B614B" w14:textId="77777777" w:rsidTr="00B30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21F3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Daily Patterns</w:t>
            </w:r>
          </w:p>
        </w:tc>
        <w:tc>
          <w:tcPr>
            <w:tcW w:w="0" w:type="auto"/>
            <w:vAlign w:val="center"/>
            <w:hideMark/>
          </w:tcPr>
          <w:p w14:paraId="076C60BD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C7F6FE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Intra-week transaction concentration</w:t>
            </w:r>
          </w:p>
        </w:tc>
      </w:tr>
      <w:tr w:rsidR="00B307E0" w:rsidRPr="00B307E0" w14:paraId="7B18855A" w14:textId="77777777" w:rsidTr="00B30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26C2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Trend Features</w:t>
            </w:r>
          </w:p>
        </w:tc>
        <w:tc>
          <w:tcPr>
            <w:tcW w:w="0" w:type="auto"/>
            <w:vAlign w:val="center"/>
            <w:hideMark/>
          </w:tcPr>
          <w:p w14:paraId="2DCB8FE8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5C904B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Momentum and acceleration</w:t>
            </w:r>
          </w:p>
        </w:tc>
      </w:tr>
      <w:tr w:rsidR="00B307E0" w:rsidRPr="00B307E0" w14:paraId="55E3CCB2" w14:textId="77777777" w:rsidTr="00B30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D47D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Liquidity Plans</w:t>
            </w:r>
          </w:p>
        </w:tc>
        <w:tc>
          <w:tcPr>
            <w:tcW w:w="0" w:type="auto"/>
            <w:vAlign w:val="center"/>
            <w:hideMark/>
          </w:tcPr>
          <w:p w14:paraId="5EA4B6EB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0A4AC8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Treasury domain expertise</w:t>
            </w:r>
          </w:p>
        </w:tc>
      </w:tr>
      <w:tr w:rsidR="00B307E0" w:rsidRPr="00B307E0" w14:paraId="77C21FF8" w14:textId="77777777" w:rsidTr="00B30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B430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Entity Encoding</w:t>
            </w:r>
          </w:p>
        </w:tc>
        <w:tc>
          <w:tcPr>
            <w:tcW w:w="0" w:type="auto"/>
            <w:vAlign w:val="center"/>
            <w:hideMark/>
          </w:tcPr>
          <w:p w14:paraId="2A7D6204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725FF5B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Entity-specific base levels</w:t>
            </w:r>
          </w:p>
        </w:tc>
      </w:tr>
      <w:tr w:rsidR="00B307E0" w:rsidRPr="00B307E0" w14:paraId="75500499" w14:textId="77777777" w:rsidTr="00B30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6C18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Liquidity Group</w:t>
            </w:r>
          </w:p>
        </w:tc>
        <w:tc>
          <w:tcPr>
            <w:tcW w:w="0" w:type="auto"/>
            <w:vAlign w:val="center"/>
            <w:hideMark/>
          </w:tcPr>
          <w:p w14:paraId="67ACD06C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C4BB3D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TRR vs TRP differentiation</w:t>
            </w:r>
          </w:p>
        </w:tc>
      </w:tr>
      <w:tr w:rsidR="00B307E0" w:rsidRPr="00B307E0" w14:paraId="4BB7D761" w14:textId="77777777" w:rsidTr="00B307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6216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38AD3F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30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118</w:t>
            </w:r>
          </w:p>
        </w:tc>
        <w:tc>
          <w:tcPr>
            <w:tcW w:w="0" w:type="auto"/>
            <w:vAlign w:val="center"/>
            <w:hideMark/>
          </w:tcPr>
          <w:p w14:paraId="545B401F" w14:textId="77777777" w:rsidR="00B307E0" w:rsidRPr="00B307E0" w:rsidRDefault="00B307E0" w:rsidP="00B30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14:paraId="66CE7037" w14:textId="77777777" w:rsidR="00B307E0" w:rsidRPr="00B307E0" w:rsidRDefault="00B307E0" w:rsidP="00B307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3E292B9">
          <v:rect id="_x0000_i1033" style="width:0;height:1.5pt" o:hralign="center" o:hrstd="t" o:hr="t" fillcolor="#a0a0a0" stroked="f"/>
        </w:pict>
      </w:r>
    </w:p>
    <w:p w14:paraId="18B3CEDE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Implementation Notes</w:t>
      </w:r>
    </w:p>
    <w:p w14:paraId="4513C8CE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 Calculation Order (CRITICAL)</w:t>
      </w:r>
    </w:p>
    <w:p w14:paraId="230B5C7B" w14:textId="77777777" w:rsidR="00B307E0" w:rsidRPr="00B307E0" w:rsidRDefault="00B307E0" w:rsidP="00B30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Daily-level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Calculate Daily Pattern Features (8 features) from raw daily transactions</w:t>
      </w:r>
    </w:p>
    <w:p w14:paraId="05E7A5C4" w14:textId="77777777" w:rsidR="00B307E0" w:rsidRPr="00B307E0" w:rsidRDefault="00B307E0" w:rsidP="00B30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Aggregate to Weekly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Sum daily transactions to weekly level</w:t>
      </w:r>
    </w:p>
    <w:p w14:paraId="22CF03D5" w14:textId="77777777" w:rsidR="00B307E0" w:rsidRPr="00B307E0" w:rsidRDefault="00B307E0" w:rsidP="00B30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Weekly-level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Calculate Lags (52), Rolling Stats (18), Calendar (12), Trends (8)</w:t>
      </w:r>
    </w:p>
    <w:p w14:paraId="7AD2BB9F" w14:textId="77777777" w:rsidR="00B307E0" w:rsidRPr="00B307E0" w:rsidRDefault="00B307E0" w:rsidP="00B30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Join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Merge in Liquidity Plan forecasts (4) from separate LP dataset</w:t>
      </w:r>
    </w:p>
    <w:p w14:paraId="0174BA47" w14:textId="77777777" w:rsidR="00B307E0" w:rsidRPr="00B307E0" w:rsidRDefault="00B307E0" w:rsidP="00B30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Encode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Add Entity (15) and Liquidity Group (1) indicators</w:t>
      </w:r>
    </w:p>
    <w:p w14:paraId="761ADE7A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Recursive Forecasting Impact</w:t>
      </w:r>
    </w:p>
    <w:p w14:paraId="7FD5E05C" w14:textId="77777777" w:rsidR="00B307E0" w:rsidRPr="00B307E0" w:rsidRDefault="00B307E0" w:rsidP="00B3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During Week 2+ predictions:</w:t>
      </w:r>
    </w:p>
    <w:p w14:paraId="4B0D2055" w14:textId="77777777" w:rsidR="00B307E0" w:rsidRPr="00B307E0" w:rsidRDefault="00B307E0" w:rsidP="00B30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Lag_1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becomes the Week 1 prediction (not actual)</w:t>
      </w:r>
    </w:p>
    <w:p w14:paraId="519E40E8" w14:textId="77777777" w:rsidR="00B307E0" w:rsidRPr="00B307E0" w:rsidRDefault="00B307E0" w:rsidP="00B30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Rolling Statistics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recalculate using predictions for recent weeks</w:t>
      </w:r>
    </w:p>
    <w:p w14:paraId="3F2CF0ED" w14:textId="77777777" w:rsidR="00B307E0" w:rsidRPr="00B307E0" w:rsidRDefault="00B307E0" w:rsidP="00B30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Trend Features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recalculate using predictions</w:t>
      </w:r>
    </w:p>
    <w:p w14:paraId="3A239C79" w14:textId="77777777" w:rsidR="00B307E0" w:rsidRPr="00B307E0" w:rsidRDefault="00B307E0" w:rsidP="00B30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LP features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shift: LP_W2 becomes the new "LP_W1" for Week 2 forecast</w:t>
      </w:r>
    </w:p>
    <w:p w14:paraId="0336A8C6" w14:textId="77777777" w:rsidR="00B307E0" w:rsidRPr="00B307E0" w:rsidRDefault="00B307E0" w:rsidP="00B307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Missing Data Handling</w:t>
      </w:r>
    </w:p>
    <w:p w14:paraId="62F56D19" w14:textId="77777777" w:rsidR="00B307E0" w:rsidRPr="00B307E0" w:rsidRDefault="00B307E0" w:rsidP="00B30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Lag features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If entity has &lt;52 weeks history, earlier lags will be NaN (acceptable)</w:t>
      </w:r>
    </w:p>
    <w:p w14:paraId="7C6748A0" w14:textId="77777777" w:rsidR="00B307E0" w:rsidRPr="00B307E0" w:rsidRDefault="00B307E0" w:rsidP="00B30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LP features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NaN if entity doesn't provide that week's forecast (keep as NaN)</w:t>
      </w:r>
    </w:p>
    <w:p w14:paraId="215A0C3A" w14:textId="77777777" w:rsidR="00B307E0" w:rsidRPr="00B307E0" w:rsidRDefault="00B307E0" w:rsidP="00B307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307E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Rolling stats</w:t>
      </w:r>
      <w:r w:rsidRPr="00B307E0">
        <w:rPr>
          <w:rFonts w:ascii="Times New Roman" w:eastAsia="Times New Roman" w:hAnsi="Times New Roman" w:cs="Times New Roman"/>
          <w:sz w:val="24"/>
          <w:szCs w:val="24"/>
          <w:lang w:eastAsia="en-GB"/>
        </w:rPr>
        <w:t>: Require minimum window (e.g., need 4 weeks for Rolling_Mean_4wk)</w:t>
      </w:r>
    </w:p>
    <w:p w14:paraId="2401ABA4" w14:textId="77777777" w:rsidR="00B307E0" w:rsidRDefault="00B307E0"/>
    <w:sectPr w:rsidR="00B3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73FBD"/>
    <w:multiLevelType w:val="multilevel"/>
    <w:tmpl w:val="ECDC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0121D"/>
    <w:multiLevelType w:val="multilevel"/>
    <w:tmpl w:val="3DE6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F1783E"/>
    <w:multiLevelType w:val="multilevel"/>
    <w:tmpl w:val="5C1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E0"/>
    <w:rsid w:val="00B3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3B45D"/>
  <w15:chartTrackingRefBased/>
  <w15:docId w15:val="{2A701337-73CE-442D-9C98-AA4DB087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07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307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07E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307E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whitespace-normal">
    <w:name w:val="whitespace-normal"/>
    <w:basedOn w:val="Normal"/>
    <w:rsid w:val="00B30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307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07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07E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307E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07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1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4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8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0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5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8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3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908</Words>
  <Characters>5177</Characters>
  <Application>Microsoft Office Word</Application>
  <DocSecurity>0</DocSecurity>
  <Lines>43</Lines>
  <Paragraphs>12</Paragraphs>
  <ScaleCrop>false</ScaleCrop>
  <Company>Aperam</Company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Orvakanti</dc:creator>
  <cp:keywords/>
  <dc:description/>
  <cp:lastModifiedBy>Praveen Orvakanti</cp:lastModifiedBy>
  <cp:revision>1</cp:revision>
  <dcterms:created xsi:type="dcterms:W3CDTF">2025-11-10T11:56:00Z</dcterms:created>
  <dcterms:modified xsi:type="dcterms:W3CDTF">2025-11-10T11:56:00Z</dcterms:modified>
</cp:coreProperties>
</file>