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A40" w14:textId="08447F2D" w:rsidR="005912DF" w:rsidRPr="00E2762E" w:rsidRDefault="00E2762E" w:rsidP="00E2762E">
      <w:pPr>
        <w:pStyle w:val="heading1"/>
        <w:numPr>
          <w:ilvl w:val="0"/>
          <w:numId w:val="0"/>
        </w:numPr>
        <w:tabs>
          <w:tab w:val="left" w:pos="567"/>
        </w:tabs>
        <w:ind w:left="567" w:hanging="567"/>
        <w:jc w:val="center"/>
        <w:rPr>
          <w:rFonts w:eastAsiaTheme="minorEastAsia"/>
          <w:lang w:eastAsia="zh-CN"/>
        </w:rPr>
      </w:pPr>
      <w:bookmarkStart w:id="0" w:name="_Hlk135206471"/>
      <w:bookmarkEnd w:id="0"/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dditional Figures &amp; Table</w:t>
      </w:r>
    </w:p>
    <w:p w14:paraId="65727253" w14:textId="2616B004" w:rsidR="00FE7BAE" w:rsidRDefault="00E2762E">
      <w:r w:rsidRPr="00E2762E">
        <w:t>The following provides a clear version of the figure</w:t>
      </w:r>
      <w:r w:rsidR="004E4774">
        <w:t>s</w:t>
      </w:r>
      <w:r w:rsidRPr="00E2762E">
        <w:t xml:space="preserve"> in the paper and the figure</w:t>
      </w:r>
      <w:r w:rsidR="00EC2690">
        <w:t>s</w:t>
      </w:r>
      <w:r w:rsidRPr="00E2762E">
        <w:t xml:space="preserve"> that cannot fit in the original paper due to space limitations.</w:t>
      </w:r>
      <w:r>
        <w:t xml:space="preserve"> </w:t>
      </w:r>
      <w:r w:rsidRPr="00E2762E">
        <w:t xml:space="preserve">In addition, it also contains a table of 20 drugs predicted for AD in the original paper </w:t>
      </w:r>
      <w:r>
        <w:t xml:space="preserve">4.4 </w:t>
      </w:r>
      <w:r w:rsidRPr="00E2762E">
        <w:t>case study</w:t>
      </w:r>
      <w:r>
        <w:t xml:space="preserve"> part.</w:t>
      </w:r>
    </w:p>
    <w:p w14:paraId="679CC4AD" w14:textId="4CD1DCB8" w:rsidR="00FE7BAE" w:rsidRDefault="00FE7BAE" w:rsidP="00897B72">
      <w:pPr>
        <w:ind w:firstLine="0"/>
      </w:pPr>
    </w:p>
    <w:p w14:paraId="5937EDD2" w14:textId="77777777" w:rsidR="00897B72" w:rsidRDefault="00897B72" w:rsidP="00897B72">
      <w:pPr>
        <w:ind w:firstLine="0"/>
      </w:pPr>
    </w:p>
    <w:p w14:paraId="0EFA6620" w14:textId="54776721" w:rsidR="00FE7BAE" w:rsidRDefault="00FE7BAE" w:rsidP="00FE7BAE">
      <w:pPr>
        <w:ind w:firstLine="0"/>
        <w:jc w:val="center"/>
      </w:pPr>
      <w:r>
        <w:rPr>
          <w:noProof/>
        </w:rPr>
        <w:drawing>
          <wp:inline distT="0" distB="0" distL="0" distR="0" wp14:anchorId="03BC419F" wp14:editId="682E2210">
            <wp:extent cx="2160000" cy="1030777"/>
            <wp:effectExtent l="0" t="0" r="0" b="0"/>
            <wp:docPr id="1163160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0359" name="图片 1163160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910" w14:textId="77777777" w:rsidR="00FE7BAE" w:rsidRDefault="00FE7BAE" w:rsidP="00FE7BAE">
      <w:pPr>
        <w:pStyle w:val="figurecaption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 xml:space="preserve">Fig. </w:t>
      </w:r>
      <w:r>
        <w:rPr>
          <w:rFonts w:eastAsiaTheme="minorEastAsia"/>
          <w:b/>
          <w:lang w:eastAsia="zh-CN"/>
        </w:rPr>
        <w:fldChar w:fldCharType="begin"/>
      </w:r>
      <w:r>
        <w:rPr>
          <w:rFonts w:eastAsiaTheme="minorEastAsia"/>
          <w:b/>
          <w:lang w:eastAsia="zh-CN"/>
        </w:rPr>
        <w:instrText xml:space="preserve"> SEQ "Figure" \* MERGEFORMAT </w:instrText>
      </w:r>
      <w:r>
        <w:rPr>
          <w:rFonts w:eastAsiaTheme="minorEastAsia"/>
          <w:b/>
          <w:lang w:eastAsia="zh-CN"/>
        </w:rPr>
        <w:fldChar w:fldCharType="separate"/>
      </w:r>
      <w:r>
        <w:rPr>
          <w:rFonts w:eastAsiaTheme="minorEastAsia"/>
          <w:b/>
          <w:noProof/>
          <w:lang w:eastAsia="zh-CN"/>
        </w:rPr>
        <w:t>1</w:t>
      </w:r>
      <w:r>
        <w:rPr>
          <w:rFonts w:eastAsiaTheme="minorEastAsia"/>
          <w:b/>
          <w:lang w:eastAsia="zh-CN"/>
        </w:rPr>
        <w:fldChar w:fldCharType="end"/>
      </w:r>
      <w:r>
        <w:rPr>
          <w:rFonts w:eastAsiaTheme="minorEastAsia"/>
          <w:b/>
          <w:lang w:eastAsia="zh-CN"/>
        </w:rPr>
        <w:t>.</w:t>
      </w:r>
      <w:r>
        <w:rPr>
          <w:rFonts w:eastAsiaTheme="minorEastAsia"/>
          <w:lang w:eastAsia="zh-CN"/>
        </w:rPr>
        <w:t xml:space="preserve"> Nodes and Edges used</w:t>
      </w:r>
    </w:p>
    <w:p w14:paraId="5C7C09DF" w14:textId="18646CAD" w:rsidR="00FE7BAE" w:rsidRDefault="00055895" w:rsidP="00055895">
      <w:pPr>
        <w:ind w:firstLine="420"/>
        <w:jc w:val="left"/>
      </w:pPr>
      <w:r w:rsidRPr="00055895">
        <w:t>Our dataset bioDDG contains three types of nodes and two types of edges</w:t>
      </w:r>
    </w:p>
    <w:p w14:paraId="7C2DFF8B" w14:textId="77777777" w:rsidR="00F34C74" w:rsidRDefault="00F34C74" w:rsidP="00F34C74">
      <w:pPr>
        <w:ind w:firstLine="0"/>
      </w:pPr>
    </w:p>
    <w:p w14:paraId="39ECB7DF" w14:textId="77777777" w:rsidR="00F34C74" w:rsidRDefault="00F34C74" w:rsidP="00F34C74">
      <w:pPr>
        <w:ind w:firstLine="0"/>
      </w:pPr>
    </w:p>
    <w:p w14:paraId="21529120" w14:textId="4798E8B4" w:rsidR="00F34C74" w:rsidRDefault="00F34C74" w:rsidP="00F34C74">
      <w:pPr>
        <w:ind w:firstLine="0"/>
        <w:jc w:val="center"/>
      </w:pPr>
      <w:r>
        <w:rPr>
          <w:noProof/>
        </w:rPr>
        <w:drawing>
          <wp:inline distT="0" distB="0" distL="0" distR="0" wp14:anchorId="50242CB0" wp14:editId="2A074BD8">
            <wp:extent cx="5274310" cy="2183765"/>
            <wp:effectExtent l="0" t="0" r="2540" b="6985"/>
            <wp:docPr id="10662959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95968" name="图片 1066295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8EFB" w14:textId="77777777" w:rsidR="00F34C74" w:rsidRPr="00AE15EE" w:rsidRDefault="00F34C74" w:rsidP="00F34C74">
      <w:pPr>
        <w:pStyle w:val="figurecaption"/>
      </w:pPr>
      <w:bookmarkStart w:id="1" w:name="_Ref467515387"/>
      <w:r>
        <w:rPr>
          <w:b/>
        </w:rPr>
        <w:t xml:space="preserve">Fig. </w:t>
      </w:r>
      <w:bookmarkEnd w:id="1"/>
      <w:r>
        <w:rPr>
          <w:b/>
        </w:rPr>
        <w:t>2.</w:t>
      </w:r>
      <w:r>
        <w:t xml:space="preserve"> T</w:t>
      </w:r>
      <w:r w:rsidRPr="00AE15EE">
        <w:t xml:space="preserve">he </w:t>
      </w:r>
      <w:r>
        <w:t>workflow</w:t>
      </w:r>
      <w:r w:rsidRPr="00AE15EE">
        <w:t xml:space="preserve"> of the NIEE</w:t>
      </w:r>
    </w:p>
    <w:p w14:paraId="5422D14E" w14:textId="77777777" w:rsidR="00FE7BAE" w:rsidRDefault="00FE7BAE" w:rsidP="00F34C74">
      <w:pPr>
        <w:ind w:firstLine="0"/>
      </w:pPr>
    </w:p>
    <w:p w14:paraId="1BF79621" w14:textId="77777777" w:rsidR="00F34C74" w:rsidRDefault="00F34C74" w:rsidP="00F34C74">
      <w:pPr>
        <w:ind w:firstLine="0"/>
      </w:pPr>
    </w:p>
    <w:p w14:paraId="3836BD42" w14:textId="188903E7" w:rsidR="00F34C74" w:rsidRDefault="00F34C74" w:rsidP="00F34C74">
      <w:pPr>
        <w:ind w:firstLine="0"/>
        <w:jc w:val="center"/>
      </w:pPr>
      <w:r>
        <w:rPr>
          <w:noProof/>
        </w:rPr>
        <w:drawing>
          <wp:inline distT="0" distB="0" distL="0" distR="0" wp14:anchorId="5B676B77" wp14:editId="2AF1EABE">
            <wp:extent cx="3600000" cy="813966"/>
            <wp:effectExtent l="0" t="0" r="0" b="5715"/>
            <wp:docPr id="17569997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99725" name="图片 17569997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D073" w14:textId="7331347C" w:rsidR="00F34C74" w:rsidRPr="007A3F48" w:rsidRDefault="00F34C74" w:rsidP="007A3F48">
      <w:pPr>
        <w:pStyle w:val="figurecaption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Fig. 3.</w:t>
      </w:r>
      <w:r>
        <w:rPr>
          <w:rFonts w:eastAsiaTheme="minorEastAsia"/>
          <w:lang w:eastAsia="zh-CN"/>
        </w:rPr>
        <w:t xml:space="preserve"> Meta-path pairs</w:t>
      </w:r>
    </w:p>
    <w:p w14:paraId="4D247CB4" w14:textId="77777777" w:rsidR="00F34C74" w:rsidRDefault="00F34C74" w:rsidP="00F34C74">
      <w:pPr>
        <w:ind w:firstLine="0"/>
      </w:pPr>
    </w:p>
    <w:p w14:paraId="69862FC8" w14:textId="77777777" w:rsidR="00F34C74" w:rsidRDefault="00F34C74" w:rsidP="00F34C74">
      <w:pPr>
        <w:ind w:firstLine="0"/>
      </w:pPr>
    </w:p>
    <w:p w14:paraId="7010CF98" w14:textId="1A96F21D" w:rsidR="00F34C74" w:rsidRDefault="00F34C74" w:rsidP="00F34C7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D2FA22" wp14:editId="72ADFB30">
            <wp:extent cx="4320000" cy="2438257"/>
            <wp:effectExtent l="0" t="0" r="4445" b="635"/>
            <wp:docPr id="14136542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4249" name="图片 1413654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4A9" w14:textId="77777777" w:rsidR="00F34C74" w:rsidRDefault="00F34C74" w:rsidP="00F34C74">
      <w:pPr>
        <w:pStyle w:val="figurecaption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Fig. 4.</w:t>
      </w:r>
      <w:r>
        <w:rPr>
          <w:rFonts w:eastAsiaTheme="minorEastAsia"/>
          <w:lang w:eastAsia="zh-CN"/>
        </w:rPr>
        <w:t xml:space="preserve"> </w:t>
      </w:r>
      <w:r w:rsidRPr="00F676DB">
        <w:rPr>
          <w:rFonts w:eastAsiaTheme="minorEastAsia"/>
          <w:lang w:eastAsia="zh-CN"/>
        </w:rPr>
        <w:t>Neighborhoods guided by meta-paths for given node</w:t>
      </w: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 xml:space="preserve"> (take RIGI &amp; IGIR as example)</w:t>
      </w:r>
    </w:p>
    <w:p w14:paraId="665B17E7" w14:textId="77777777" w:rsidR="00FE7BAE" w:rsidRDefault="00FE7BAE" w:rsidP="007A3F48">
      <w:pPr>
        <w:ind w:firstLine="0"/>
      </w:pPr>
    </w:p>
    <w:p w14:paraId="4EB48116" w14:textId="77777777" w:rsidR="00FE7BAE" w:rsidRDefault="00FE7BAE" w:rsidP="00897B72">
      <w:pPr>
        <w:ind w:firstLine="0"/>
      </w:pPr>
    </w:p>
    <w:p w14:paraId="244A8DDF" w14:textId="0D6D261C" w:rsidR="00FE7BAE" w:rsidRDefault="00F34C74" w:rsidP="00F34C74">
      <w:pPr>
        <w:jc w:val="center"/>
      </w:pPr>
      <w:r>
        <w:rPr>
          <w:noProof/>
        </w:rPr>
        <w:drawing>
          <wp:inline distT="0" distB="0" distL="0" distR="0" wp14:anchorId="2F5BA75C" wp14:editId="11B15A21">
            <wp:extent cx="4320000" cy="2703511"/>
            <wp:effectExtent l="0" t="0" r="0" b="1905"/>
            <wp:docPr id="15906093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9375" name="图片 1590609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78DA" w14:textId="77777777" w:rsidR="00F34C74" w:rsidRDefault="00F34C74" w:rsidP="00F34C74">
      <w:pPr>
        <w:pStyle w:val="figurecaption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Fig. 5.</w:t>
      </w:r>
      <w:r>
        <w:rPr>
          <w:rFonts w:eastAsiaTheme="minorEastAsia"/>
          <w:lang w:eastAsia="zh-CN"/>
        </w:rPr>
        <w:t xml:space="preserve"> </w:t>
      </w:r>
      <w:r w:rsidRPr="002B4B26">
        <w:rPr>
          <w:rFonts w:eastAsiaTheme="minorEastAsia"/>
          <w:lang w:eastAsia="zh-CN"/>
        </w:rPr>
        <w:t>Example of interaction between neighborhoods (take the meta-path pair RIGI &amp; IGIR as an example)</w:t>
      </w:r>
    </w:p>
    <w:p w14:paraId="5704B426" w14:textId="6A7FEDFE" w:rsidR="00110BFB" w:rsidRDefault="00182BBD" w:rsidP="00F34C74">
      <w:pPr>
        <w:ind w:firstLine="0"/>
      </w:pPr>
      <w:r w:rsidRPr="002B4B26">
        <w:rPr>
          <w:rFonts w:eastAsiaTheme="minorEastAsia"/>
          <w:lang w:eastAsia="zh-CN"/>
        </w:rPr>
        <w:t>For the convenience of demonstration, random walk is performed only once</w:t>
      </w:r>
      <w:r w:rsidR="00A24D70">
        <w:rPr>
          <w:rFonts w:eastAsiaTheme="minorEastAsia"/>
          <w:lang w:eastAsia="zh-CN"/>
        </w:rPr>
        <w:t xml:space="preserve"> in the above figure</w:t>
      </w:r>
      <w:r>
        <w:rPr>
          <w:rFonts w:eastAsiaTheme="minorEastAsia"/>
          <w:lang w:eastAsia="zh-CN"/>
        </w:rPr>
        <w:t>.</w:t>
      </w:r>
    </w:p>
    <w:p w14:paraId="73426CD4" w14:textId="77777777" w:rsidR="00110BFB" w:rsidRDefault="00110BFB" w:rsidP="00F34C74">
      <w:pPr>
        <w:ind w:firstLine="0"/>
      </w:pPr>
    </w:p>
    <w:p w14:paraId="397FD570" w14:textId="77777777" w:rsidR="00110BFB" w:rsidRDefault="00110BFB" w:rsidP="00F34C74">
      <w:pPr>
        <w:ind w:firstLine="0"/>
      </w:pPr>
    </w:p>
    <w:p w14:paraId="4A84CFBE" w14:textId="1B598241" w:rsidR="00110BFB" w:rsidRDefault="00110BFB" w:rsidP="00110BFB">
      <w:pPr>
        <w:ind w:firstLine="0"/>
        <w:jc w:val="center"/>
      </w:pPr>
      <w:r>
        <w:rPr>
          <w:noProof/>
        </w:rPr>
        <w:drawing>
          <wp:inline distT="0" distB="0" distL="0" distR="0" wp14:anchorId="53E6AD7C" wp14:editId="0ECD771C">
            <wp:extent cx="1800000" cy="877723"/>
            <wp:effectExtent l="0" t="0" r="0" b="0"/>
            <wp:docPr id="195106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4048" name="图片 19510640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65C" w14:textId="77777777" w:rsidR="00110BFB" w:rsidRPr="000B0187" w:rsidRDefault="00110BFB" w:rsidP="00110BFB">
      <w:pPr>
        <w:pStyle w:val="figurecaption"/>
        <w:jc w:val="both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Fig. 6.</w:t>
      </w:r>
      <w:r>
        <w:rPr>
          <w:rFonts w:eastAsiaTheme="minorEastAsia"/>
          <w:lang w:eastAsia="zh-CN"/>
        </w:rPr>
        <w:t xml:space="preserve"> </w:t>
      </w:r>
      <w:r w:rsidRPr="00736151">
        <w:rPr>
          <w:rFonts w:eastAsiaTheme="minorEastAsia"/>
          <w:lang w:eastAsia="zh-CN"/>
        </w:rPr>
        <w:t xml:space="preserve">Example of embedding representation of </w:t>
      </w:r>
      <m:oMath>
        <m:sSup>
          <m:sSupPr>
            <m:ctrlPr>
              <w:rPr>
                <w:rFonts w:ascii="Cambria Math" w:hAnsi="Cambria Math"/>
                <w:i/>
                <w:szCs w:val="13"/>
              </w:rPr>
            </m:ctrlPr>
          </m:sSupPr>
          <m:e>
            <m:r>
              <w:rPr>
                <w:rFonts w:ascii="Cambria Math" w:hAnsi="Cambria Math"/>
                <w:szCs w:val="13"/>
              </w:rPr>
              <m:t>z</m:t>
            </m:r>
          </m:e>
          <m:sup>
            <m:r>
              <w:rPr>
                <w:rFonts w:ascii="Cambria Math" w:hAnsi="Cambria Math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Cs w:val="13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13"/>
                  </w:rPr>
                  <m:t>i</m:t>
                </m:r>
              </m:sub>
            </m:sSub>
            <m:r>
              <w:rPr>
                <w:rFonts w:ascii="Cambria Math" w:hAnsi="Cambria Math"/>
                <w:szCs w:val="13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Cs w:val="1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13"/>
                  </w:rPr>
                  <m:t>i</m:t>
                </m:r>
              </m:sub>
            </m:sSub>
            <m:r>
              <w:rPr>
                <w:rFonts w:ascii="Cambria Math" w:hAnsi="Cambria Math"/>
                <w:szCs w:val="13"/>
              </w:rPr>
              <m:t>)</m:t>
            </m:r>
          </m:sup>
        </m:sSup>
        <m:r>
          <w:rPr>
            <w:rFonts w:ascii="Cambria Math" w:hAnsi="Cambria Math"/>
            <w:szCs w:val="13"/>
          </w:rPr>
          <m:t>(</m:t>
        </m:r>
        <m:r>
          <w:rPr>
            <w:rFonts w:ascii="Cambria Math" w:hAnsi="Cambria Math" w:hint="eastAsia"/>
            <w:szCs w:val="13"/>
          </w:rPr>
          <m:t>jk</m:t>
        </m:r>
        <m:r>
          <w:rPr>
            <w:rFonts w:ascii="Cambria Math" w:hAnsi="Cambria Math"/>
            <w:szCs w:val="13"/>
          </w:rPr>
          <m:t>)</m:t>
        </m:r>
      </m:oMath>
      <w:r w:rsidRPr="00736151">
        <w:rPr>
          <w:rFonts w:eastAsiaTheme="minorEastAsia"/>
          <w:lang w:eastAsia="zh-CN"/>
        </w:rPr>
        <w:t xml:space="preserve"> learned by single-head self-attention mechanism</w:t>
      </w:r>
    </w:p>
    <w:p w14:paraId="58F72948" w14:textId="77777777" w:rsidR="00110BFB" w:rsidRDefault="00110BFB" w:rsidP="00110BFB">
      <w:pPr>
        <w:ind w:firstLine="0"/>
        <w:jc w:val="center"/>
      </w:pPr>
    </w:p>
    <w:p w14:paraId="7AEDBBCE" w14:textId="6D357171" w:rsidR="00F34C74" w:rsidRDefault="00F34C74" w:rsidP="00F34C7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4DEACC" wp14:editId="0D930AF8">
            <wp:extent cx="4320000" cy="1702827"/>
            <wp:effectExtent l="0" t="0" r="4445" b="0"/>
            <wp:docPr id="179380939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09399" name="图片 17938093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C93E" w14:textId="09CA9295" w:rsidR="00F34C74" w:rsidRDefault="00F34C74" w:rsidP="00F34C74">
      <w:pPr>
        <w:pStyle w:val="figurecaption"/>
        <w:rPr>
          <w:rFonts w:eastAsiaTheme="minorEastAsia"/>
        </w:rPr>
      </w:pPr>
      <w:r>
        <w:rPr>
          <w:rFonts w:eastAsiaTheme="minorEastAsia"/>
          <w:b/>
        </w:rPr>
        <w:t xml:space="preserve">Fig. </w:t>
      </w:r>
      <w:r w:rsidR="00110BFB">
        <w:rPr>
          <w:rFonts w:eastAsiaTheme="minorEastAsia"/>
          <w:b/>
        </w:rPr>
        <w:t>7</w:t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w:r w:rsidRPr="00F64D6A">
        <w:rPr>
          <w:rFonts w:eastAsiaTheme="minorEastAsia"/>
        </w:rPr>
        <w:t>NIEE's performance in comparison to other benchmark models.</w:t>
      </w:r>
    </w:p>
    <w:p w14:paraId="0A50817D" w14:textId="77777777" w:rsidR="00F34C74" w:rsidRDefault="00F34C74" w:rsidP="00F34C74">
      <w:pPr>
        <w:ind w:firstLine="0"/>
      </w:pPr>
    </w:p>
    <w:p w14:paraId="68432AEB" w14:textId="77777777" w:rsidR="00F34C74" w:rsidRDefault="00F34C74" w:rsidP="00F34C74">
      <w:pPr>
        <w:ind w:firstLine="0"/>
      </w:pPr>
    </w:p>
    <w:p w14:paraId="69B1CF0D" w14:textId="77B89C76" w:rsidR="00F34C74" w:rsidRDefault="00F34C74" w:rsidP="00F34C74">
      <w:pPr>
        <w:ind w:firstLine="0"/>
        <w:jc w:val="center"/>
      </w:pPr>
      <w:r>
        <w:rPr>
          <w:noProof/>
        </w:rPr>
        <w:drawing>
          <wp:inline distT="0" distB="0" distL="0" distR="0" wp14:anchorId="00575827" wp14:editId="4A7362E1">
            <wp:extent cx="5400000" cy="1441344"/>
            <wp:effectExtent l="0" t="0" r="0" b="0"/>
            <wp:docPr id="7305066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06662" name="图片 7305066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475D" w14:textId="571169B8" w:rsidR="00F34C74" w:rsidRPr="006D7BBC" w:rsidRDefault="00F34C74" w:rsidP="00F34C74">
      <w:pPr>
        <w:pStyle w:val="figurecaption"/>
        <w:rPr>
          <w:rFonts w:eastAsiaTheme="minorEastAsia"/>
        </w:rPr>
      </w:pPr>
      <w:r>
        <w:rPr>
          <w:rFonts w:eastAsiaTheme="minorEastAsia"/>
          <w:b/>
        </w:rPr>
        <w:t xml:space="preserve">Fig. </w:t>
      </w:r>
      <w:r w:rsidR="00110BFB">
        <w:rPr>
          <w:rFonts w:eastAsiaTheme="minorEastAsia"/>
          <w:b/>
        </w:rPr>
        <w:t>8</w:t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Sensitivity analysis of parameters.</w:t>
      </w:r>
    </w:p>
    <w:p w14:paraId="6A71F883" w14:textId="77777777" w:rsidR="00E72201" w:rsidRDefault="00E72201" w:rsidP="00897B72">
      <w:pPr>
        <w:ind w:firstLine="0"/>
        <w:rPr>
          <w:rFonts w:eastAsiaTheme="minorEastAsia"/>
          <w:b/>
          <w:sz w:val="18"/>
          <w:lang w:eastAsia="zh-CN"/>
        </w:rPr>
      </w:pPr>
    </w:p>
    <w:p w14:paraId="2FB85433" w14:textId="77777777" w:rsidR="00BD3CEF" w:rsidRDefault="00BD3CEF" w:rsidP="00897B72">
      <w:pPr>
        <w:ind w:firstLine="0"/>
      </w:pPr>
    </w:p>
    <w:p w14:paraId="3C8F6B30" w14:textId="77777777" w:rsidR="00897B72" w:rsidRDefault="00897B72" w:rsidP="00897B72">
      <w:pPr>
        <w:ind w:firstLine="0"/>
      </w:pPr>
    </w:p>
    <w:p w14:paraId="2E761926" w14:textId="77777777" w:rsidR="00897B72" w:rsidRDefault="00897B72" w:rsidP="00897B72">
      <w:pPr>
        <w:ind w:firstLine="0"/>
      </w:pPr>
    </w:p>
    <w:p w14:paraId="0029345B" w14:textId="77777777" w:rsidR="00897B72" w:rsidRDefault="00897B72" w:rsidP="00897B72">
      <w:pPr>
        <w:ind w:firstLine="0"/>
      </w:pPr>
    </w:p>
    <w:p w14:paraId="333496F4" w14:textId="77777777" w:rsidR="00897B72" w:rsidRDefault="00897B72" w:rsidP="00897B72">
      <w:pPr>
        <w:ind w:firstLine="0"/>
      </w:pPr>
    </w:p>
    <w:p w14:paraId="42666D66" w14:textId="77777777" w:rsidR="00897B72" w:rsidRDefault="00897B72" w:rsidP="00897B72">
      <w:pPr>
        <w:ind w:firstLine="0"/>
      </w:pPr>
    </w:p>
    <w:p w14:paraId="365DA618" w14:textId="77777777" w:rsidR="00897B72" w:rsidRDefault="00897B72" w:rsidP="00897B72">
      <w:pPr>
        <w:ind w:firstLine="0"/>
      </w:pPr>
    </w:p>
    <w:p w14:paraId="0F593166" w14:textId="77777777" w:rsidR="00897B72" w:rsidRDefault="00897B72" w:rsidP="00897B72">
      <w:pPr>
        <w:ind w:firstLine="0"/>
      </w:pPr>
    </w:p>
    <w:p w14:paraId="11E52CB3" w14:textId="77777777" w:rsidR="00897B72" w:rsidRDefault="00897B72" w:rsidP="00897B72">
      <w:pPr>
        <w:ind w:firstLine="0"/>
      </w:pPr>
    </w:p>
    <w:p w14:paraId="6BE4BCD7" w14:textId="77777777" w:rsidR="00897B72" w:rsidRDefault="00897B72" w:rsidP="00897B72">
      <w:pPr>
        <w:ind w:firstLine="0"/>
      </w:pPr>
    </w:p>
    <w:p w14:paraId="066E0829" w14:textId="77777777" w:rsidR="00897B72" w:rsidRDefault="00897B72" w:rsidP="00897B72">
      <w:pPr>
        <w:ind w:firstLine="0"/>
      </w:pPr>
    </w:p>
    <w:p w14:paraId="00100E81" w14:textId="77777777" w:rsidR="00897B72" w:rsidRDefault="00897B72" w:rsidP="00897B72">
      <w:pPr>
        <w:ind w:firstLine="0"/>
      </w:pPr>
    </w:p>
    <w:p w14:paraId="0DF7F723" w14:textId="77777777" w:rsidR="00897B72" w:rsidRDefault="00897B72" w:rsidP="00897B72">
      <w:pPr>
        <w:ind w:firstLine="0"/>
      </w:pPr>
    </w:p>
    <w:p w14:paraId="6F6EB976" w14:textId="77777777" w:rsidR="00897B72" w:rsidRDefault="00897B72" w:rsidP="00897B72">
      <w:pPr>
        <w:ind w:firstLine="0"/>
      </w:pPr>
    </w:p>
    <w:p w14:paraId="42CB054B" w14:textId="77777777" w:rsidR="00897B72" w:rsidRDefault="00897B72" w:rsidP="00897B72">
      <w:pPr>
        <w:ind w:firstLine="0"/>
      </w:pPr>
    </w:p>
    <w:p w14:paraId="12C02348" w14:textId="77777777" w:rsidR="00897B72" w:rsidRDefault="00897B72" w:rsidP="00897B72">
      <w:pPr>
        <w:ind w:firstLine="0"/>
      </w:pPr>
    </w:p>
    <w:p w14:paraId="224F411A" w14:textId="77777777" w:rsidR="00897B72" w:rsidRDefault="00897B72" w:rsidP="00897B72">
      <w:pPr>
        <w:ind w:firstLine="0"/>
      </w:pPr>
    </w:p>
    <w:p w14:paraId="2D75DC08" w14:textId="77777777" w:rsidR="00052B8D" w:rsidRDefault="00052B8D" w:rsidP="00897B72">
      <w:pPr>
        <w:ind w:firstLine="0"/>
      </w:pPr>
    </w:p>
    <w:p w14:paraId="44FD3393" w14:textId="2A3E10D3" w:rsidR="001B0A00" w:rsidRDefault="001B0A00" w:rsidP="001B0A00">
      <w:pPr>
        <w:pStyle w:val="tablecaption"/>
      </w:pPr>
      <w:r>
        <w:rPr>
          <w:b/>
        </w:rPr>
        <w:lastRenderedPageBreak/>
        <w:t xml:space="preserve">Table </w:t>
      </w:r>
      <w:r w:rsidR="00E72201">
        <w:rPr>
          <w:b/>
        </w:rPr>
        <w:t>1</w:t>
      </w:r>
      <w:r>
        <w:rPr>
          <w:b/>
        </w:rPr>
        <w:t>.</w:t>
      </w:r>
      <w:r>
        <w:t xml:space="preserve"> </w:t>
      </w:r>
      <w:r w:rsidRPr="0085245A">
        <w:t xml:space="preserve">20 potential drugs for Alzheimer's disease predicted by </w:t>
      </w:r>
      <w:r>
        <w:t>NIEE.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134"/>
        <w:gridCol w:w="1134"/>
        <w:gridCol w:w="567"/>
        <w:gridCol w:w="1559"/>
        <w:gridCol w:w="1134"/>
        <w:gridCol w:w="1134"/>
      </w:tblGrid>
      <w:tr w:rsidR="001B0A00" w:rsidRPr="009A3755" w14:paraId="51798246" w14:textId="77777777" w:rsidTr="00787C7B">
        <w:trPr>
          <w:jc w:val="center"/>
        </w:trPr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</w:tcPr>
          <w:p w14:paraId="40B05762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Rank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6" w:space="0" w:color="000000"/>
            </w:tcBorders>
          </w:tcPr>
          <w:p w14:paraId="4815214B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Predicted drugs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6" w:space="0" w:color="000000"/>
            </w:tcBorders>
          </w:tcPr>
          <w:p w14:paraId="6DAB1A27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DrugBank ID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6" w:space="0" w:color="000000"/>
            </w:tcBorders>
          </w:tcPr>
          <w:p w14:paraId="58173730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E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vidence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</w:tcPr>
          <w:p w14:paraId="0DAD115F" w14:textId="77777777" w:rsidR="001B0A0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R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ank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6" w:space="0" w:color="000000"/>
            </w:tcBorders>
          </w:tcPr>
          <w:p w14:paraId="43801053" w14:textId="77777777" w:rsidR="001B0A0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P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redicted drugs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6" w:space="0" w:color="000000"/>
            </w:tcBorders>
          </w:tcPr>
          <w:p w14:paraId="22FF1D71" w14:textId="77777777" w:rsidR="001B0A0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 xml:space="preserve">rugBank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6" w:space="0" w:color="000000"/>
            </w:tcBorders>
          </w:tcPr>
          <w:p w14:paraId="301930FF" w14:textId="77777777" w:rsidR="001B0A0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E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vidence</w:t>
            </w:r>
          </w:p>
        </w:tc>
      </w:tr>
      <w:tr w:rsidR="001B0A00" w:rsidRPr="009A3755" w14:paraId="0213ABA9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3D8796E4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15B46C0B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Seviteronel</w:t>
            </w:r>
          </w:p>
        </w:tc>
        <w:tc>
          <w:tcPr>
            <w:tcW w:w="1134" w:type="dxa"/>
            <w:vAlign w:val="center"/>
          </w:tcPr>
          <w:p w14:paraId="45A192D9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DB12275</w:t>
            </w:r>
          </w:p>
        </w:tc>
        <w:tc>
          <w:tcPr>
            <w:tcW w:w="1134" w:type="dxa"/>
          </w:tcPr>
          <w:p w14:paraId="628B7927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BB3C3B5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59" w:type="dxa"/>
          </w:tcPr>
          <w:p w14:paraId="5A67B7DE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Methylphenidate</w:t>
            </w:r>
          </w:p>
        </w:tc>
        <w:tc>
          <w:tcPr>
            <w:tcW w:w="1134" w:type="dxa"/>
          </w:tcPr>
          <w:p w14:paraId="58059391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DB00422</w:t>
            </w:r>
          </w:p>
        </w:tc>
        <w:tc>
          <w:tcPr>
            <w:tcW w:w="1134" w:type="dxa"/>
          </w:tcPr>
          <w:p w14:paraId="68FB0C4C" w14:textId="3B29EF3F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CTD, [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begin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instrText xml:space="preserve"> REF _Ref134381185 \r \h </w:instrTex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separate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t>2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,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begin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instrText xml:space="preserve"> REF _Ref134381211 \r \h </w:instrTex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separate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t>3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Theme="minorEastAsia"/>
                <w:sz w:val="18"/>
                <w:szCs w:val="18"/>
                <w:lang w:eastAsia="zh-CN"/>
              </w:rPr>
              <w:t xml:space="preserve">] </w:t>
            </w:r>
            <w:r w:rsidRPr="00CD2BB0">
              <w:rPr>
                <w:rFonts w:eastAsia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1B0A00" w:rsidRPr="009A3755" w14:paraId="4188D083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47AD2306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  <w:vAlign w:val="center"/>
          </w:tcPr>
          <w:p w14:paraId="58257299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Abarelix</w:t>
            </w:r>
          </w:p>
        </w:tc>
        <w:tc>
          <w:tcPr>
            <w:tcW w:w="1134" w:type="dxa"/>
            <w:vAlign w:val="center"/>
          </w:tcPr>
          <w:p w14:paraId="2FAA4B1F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DB00106</w:t>
            </w:r>
          </w:p>
        </w:tc>
        <w:tc>
          <w:tcPr>
            <w:tcW w:w="1134" w:type="dxa"/>
          </w:tcPr>
          <w:p w14:paraId="3310C18C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4DDF72C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59" w:type="dxa"/>
          </w:tcPr>
          <w:p w14:paraId="72600841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Dopexamine</w:t>
            </w:r>
          </w:p>
        </w:tc>
        <w:tc>
          <w:tcPr>
            <w:tcW w:w="1134" w:type="dxa"/>
          </w:tcPr>
          <w:p w14:paraId="6929AB6F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DB12313</w:t>
            </w:r>
          </w:p>
        </w:tc>
        <w:tc>
          <w:tcPr>
            <w:tcW w:w="1134" w:type="dxa"/>
          </w:tcPr>
          <w:p w14:paraId="7EA2AB0B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1B0A00" w:rsidRPr="009A3755" w14:paraId="3D3390F1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38B413D2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  <w:vAlign w:val="center"/>
          </w:tcPr>
          <w:p w14:paraId="6F693E25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Aminoglutethimide</w:t>
            </w:r>
          </w:p>
        </w:tc>
        <w:tc>
          <w:tcPr>
            <w:tcW w:w="1134" w:type="dxa"/>
            <w:vAlign w:val="center"/>
          </w:tcPr>
          <w:p w14:paraId="33820FFF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DB00357</w:t>
            </w:r>
          </w:p>
        </w:tc>
        <w:tc>
          <w:tcPr>
            <w:tcW w:w="1134" w:type="dxa"/>
          </w:tcPr>
          <w:p w14:paraId="1FAC7B89" w14:textId="77777777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</w:t>
            </w:r>
          </w:p>
        </w:tc>
        <w:tc>
          <w:tcPr>
            <w:tcW w:w="567" w:type="dxa"/>
          </w:tcPr>
          <w:p w14:paraId="370BFEB4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59" w:type="dxa"/>
          </w:tcPr>
          <w:p w14:paraId="62370140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Lactitol</w:t>
            </w:r>
          </w:p>
        </w:tc>
        <w:tc>
          <w:tcPr>
            <w:tcW w:w="1134" w:type="dxa"/>
          </w:tcPr>
          <w:p w14:paraId="7337E77D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DB12942</w:t>
            </w:r>
          </w:p>
        </w:tc>
        <w:tc>
          <w:tcPr>
            <w:tcW w:w="1134" w:type="dxa"/>
          </w:tcPr>
          <w:p w14:paraId="42B88E30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1B0A00" w:rsidRPr="009A3755" w14:paraId="5C4BDD02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7E4C4EA8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  <w:vAlign w:val="center"/>
          </w:tcPr>
          <w:p w14:paraId="50726C74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Volinanserin</w:t>
            </w:r>
          </w:p>
        </w:tc>
        <w:tc>
          <w:tcPr>
            <w:tcW w:w="1134" w:type="dxa"/>
            <w:vAlign w:val="center"/>
          </w:tcPr>
          <w:p w14:paraId="50B78DDC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DB16351</w:t>
            </w:r>
          </w:p>
        </w:tc>
        <w:tc>
          <w:tcPr>
            <w:tcW w:w="1134" w:type="dxa"/>
          </w:tcPr>
          <w:p w14:paraId="2CCA0418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D0BD805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9" w:type="dxa"/>
          </w:tcPr>
          <w:p w14:paraId="2A6B26B6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Dopamine</w:t>
            </w:r>
          </w:p>
        </w:tc>
        <w:tc>
          <w:tcPr>
            <w:tcW w:w="1134" w:type="dxa"/>
          </w:tcPr>
          <w:p w14:paraId="6BB8E75C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DB00988</w:t>
            </w:r>
          </w:p>
        </w:tc>
        <w:tc>
          <w:tcPr>
            <w:tcW w:w="1134" w:type="dxa"/>
          </w:tcPr>
          <w:p w14:paraId="2F90AD0F" w14:textId="77777777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</w:t>
            </w:r>
          </w:p>
        </w:tc>
      </w:tr>
      <w:tr w:rsidR="001B0A00" w:rsidRPr="009A3755" w14:paraId="3087932A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656A7748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0" w:type="dxa"/>
            <w:vAlign w:val="center"/>
          </w:tcPr>
          <w:p w14:paraId="406EF207" w14:textId="77777777" w:rsidR="001B0A00" w:rsidRPr="0085245A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Kynurenic Acid</w:t>
            </w:r>
          </w:p>
        </w:tc>
        <w:tc>
          <w:tcPr>
            <w:tcW w:w="1134" w:type="dxa"/>
            <w:vAlign w:val="center"/>
          </w:tcPr>
          <w:p w14:paraId="7B47CD75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DB11937</w:t>
            </w:r>
          </w:p>
        </w:tc>
        <w:tc>
          <w:tcPr>
            <w:tcW w:w="1134" w:type="dxa"/>
          </w:tcPr>
          <w:p w14:paraId="0CA1F652" w14:textId="77777777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</w:t>
            </w:r>
          </w:p>
        </w:tc>
        <w:tc>
          <w:tcPr>
            <w:tcW w:w="567" w:type="dxa"/>
          </w:tcPr>
          <w:p w14:paraId="3C736229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9" w:type="dxa"/>
          </w:tcPr>
          <w:p w14:paraId="3189857A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Moxaverine</w:t>
            </w:r>
          </w:p>
        </w:tc>
        <w:tc>
          <w:tcPr>
            <w:tcW w:w="1134" w:type="dxa"/>
          </w:tcPr>
          <w:p w14:paraId="03D27736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DB12251</w:t>
            </w:r>
          </w:p>
        </w:tc>
        <w:tc>
          <w:tcPr>
            <w:tcW w:w="1134" w:type="dxa"/>
          </w:tcPr>
          <w:p w14:paraId="3C33F695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1B0A00" w:rsidRPr="009A3755" w14:paraId="0A163AD2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5C256E59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60" w:type="dxa"/>
            <w:vAlign w:val="center"/>
          </w:tcPr>
          <w:p w14:paraId="23074019" w14:textId="77777777" w:rsidR="001B0A00" w:rsidRPr="0085245A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Ipragliflozin</w:t>
            </w:r>
          </w:p>
        </w:tc>
        <w:tc>
          <w:tcPr>
            <w:tcW w:w="1134" w:type="dxa"/>
            <w:vAlign w:val="center"/>
          </w:tcPr>
          <w:p w14:paraId="6832CAE8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DB11698</w:t>
            </w:r>
          </w:p>
        </w:tc>
        <w:tc>
          <w:tcPr>
            <w:tcW w:w="1134" w:type="dxa"/>
          </w:tcPr>
          <w:p w14:paraId="7F9F1F96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68BC09F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9" w:type="dxa"/>
          </w:tcPr>
          <w:p w14:paraId="0A694272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Tetrabenazine</w:t>
            </w:r>
          </w:p>
        </w:tc>
        <w:tc>
          <w:tcPr>
            <w:tcW w:w="1134" w:type="dxa"/>
          </w:tcPr>
          <w:p w14:paraId="0326C91D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DB04844</w:t>
            </w:r>
          </w:p>
        </w:tc>
        <w:tc>
          <w:tcPr>
            <w:tcW w:w="1134" w:type="dxa"/>
          </w:tcPr>
          <w:p w14:paraId="01FE0BC5" w14:textId="537C4880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[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begin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instrText xml:space="preserve"> </w:instrText>
            </w:r>
            <w:r w:rsidR="00272180">
              <w:rPr>
                <w:rFonts w:eastAsiaTheme="minorEastAsia" w:hint="eastAsia"/>
                <w:sz w:val="18"/>
                <w:szCs w:val="18"/>
                <w:lang w:eastAsia="zh-CN"/>
              </w:rPr>
              <w:instrText>REF _Ref132309776 \r \h</w:instrTex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instrText xml:space="preserve"> </w:instrTex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separate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t>4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]</w:t>
            </w:r>
          </w:p>
        </w:tc>
      </w:tr>
      <w:tr w:rsidR="001B0A00" w:rsidRPr="009A3755" w14:paraId="2F34F74A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11DB41E2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60" w:type="dxa"/>
            <w:vAlign w:val="center"/>
          </w:tcPr>
          <w:p w14:paraId="237B44C7" w14:textId="77777777" w:rsidR="001B0A00" w:rsidRPr="0085245A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Tretazicar</w:t>
            </w:r>
          </w:p>
        </w:tc>
        <w:tc>
          <w:tcPr>
            <w:tcW w:w="1134" w:type="dxa"/>
            <w:vAlign w:val="center"/>
          </w:tcPr>
          <w:p w14:paraId="4B0A4720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DB04253</w:t>
            </w:r>
          </w:p>
        </w:tc>
        <w:tc>
          <w:tcPr>
            <w:tcW w:w="1134" w:type="dxa"/>
          </w:tcPr>
          <w:p w14:paraId="64576D2A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903DC99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59" w:type="dxa"/>
          </w:tcPr>
          <w:p w14:paraId="7432821E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Benfluorex</w:t>
            </w:r>
          </w:p>
        </w:tc>
        <w:tc>
          <w:tcPr>
            <w:tcW w:w="1134" w:type="dxa"/>
          </w:tcPr>
          <w:p w14:paraId="50B69D00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DB09022</w:t>
            </w:r>
          </w:p>
        </w:tc>
        <w:tc>
          <w:tcPr>
            <w:tcW w:w="1134" w:type="dxa"/>
          </w:tcPr>
          <w:p w14:paraId="08B1FC9E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1B0A00" w:rsidRPr="009A3755" w14:paraId="1DF9470B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1DFFAD13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 w14:paraId="749F678C" w14:textId="77777777" w:rsidR="001B0A00" w:rsidRPr="0085245A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Metronidazole</w:t>
            </w:r>
          </w:p>
        </w:tc>
        <w:tc>
          <w:tcPr>
            <w:tcW w:w="1134" w:type="dxa"/>
            <w:vAlign w:val="center"/>
          </w:tcPr>
          <w:p w14:paraId="22546829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DB00916</w:t>
            </w:r>
          </w:p>
        </w:tc>
        <w:tc>
          <w:tcPr>
            <w:tcW w:w="1134" w:type="dxa"/>
          </w:tcPr>
          <w:p w14:paraId="1B2CC1F1" w14:textId="77777777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</w:t>
            </w:r>
          </w:p>
        </w:tc>
        <w:tc>
          <w:tcPr>
            <w:tcW w:w="567" w:type="dxa"/>
          </w:tcPr>
          <w:p w14:paraId="1F18F43F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59" w:type="dxa"/>
          </w:tcPr>
          <w:p w14:paraId="1B5EE97C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Alprostadil</w:t>
            </w:r>
          </w:p>
        </w:tc>
        <w:tc>
          <w:tcPr>
            <w:tcW w:w="1134" w:type="dxa"/>
          </w:tcPr>
          <w:p w14:paraId="232FF04C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DB00770</w:t>
            </w:r>
          </w:p>
        </w:tc>
        <w:tc>
          <w:tcPr>
            <w:tcW w:w="1134" w:type="dxa"/>
          </w:tcPr>
          <w:p w14:paraId="01225A92" w14:textId="77777777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</w:t>
            </w:r>
          </w:p>
        </w:tc>
      </w:tr>
      <w:tr w:rsidR="001B0A00" w:rsidRPr="009A3755" w14:paraId="13D39274" w14:textId="77777777" w:rsidTr="00787C7B">
        <w:trPr>
          <w:trHeight w:val="284"/>
          <w:jc w:val="center"/>
        </w:trPr>
        <w:tc>
          <w:tcPr>
            <w:tcW w:w="567" w:type="dxa"/>
            <w:vAlign w:val="center"/>
          </w:tcPr>
          <w:p w14:paraId="7F2726B8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60" w:type="dxa"/>
            <w:vAlign w:val="center"/>
          </w:tcPr>
          <w:p w14:paraId="1C054F41" w14:textId="77777777" w:rsidR="001B0A00" w:rsidRPr="0085245A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Racephedrine</w:t>
            </w:r>
          </w:p>
        </w:tc>
        <w:tc>
          <w:tcPr>
            <w:tcW w:w="1134" w:type="dxa"/>
            <w:vAlign w:val="center"/>
          </w:tcPr>
          <w:p w14:paraId="12BE29C9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DB14752</w:t>
            </w:r>
          </w:p>
        </w:tc>
        <w:tc>
          <w:tcPr>
            <w:tcW w:w="1134" w:type="dxa"/>
          </w:tcPr>
          <w:p w14:paraId="2455CE33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AD44DA0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59" w:type="dxa"/>
          </w:tcPr>
          <w:p w14:paraId="0DB2B777" w14:textId="77777777" w:rsidR="001B0A00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 xml:space="preserve">Dexamethasone </w:t>
            </w:r>
          </w:p>
          <w:p w14:paraId="1C34F685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acetate</w:t>
            </w:r>
          </w:p>
        </w:tc>
        <w:tc>
          <w:tcPr>
            <w:tcW w:w="1134" w:type="dxa"/>
          </w:tcPr>
          <w:p w14:paraId="36E21F30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DB14649</w:t>
            </w:r>
          </w:p>
        </w:tc>
        <w:tc>
          <w:tcPr>
            <w:tcW w:w="1134" w:type="dxa"/>
          </w:tcPr>
          <w:p w14:paraId="1BD34A3C" w14:textId="716028DD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CTD, [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begin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instrText xml:space="preserve"> REF _Ref134381348 \r \h </w:instrTex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separate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t>5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]</w:t>
            </w:r>
          </w:p>
        </w:tc>
      </w:tr>
      <w:tr w:rsidR="001B0A00" w:rsidRPr="009A3755" w14:paraId="4FEF04A0" w14:textId="77777777" w:rsidTr="00787C7B">
        <w:trPr>
          <w:trHeight w:val="284"/>
          <w:jc w:val="center"/>
        </w:trPr>
        <w:tc>
          <w:tcPr>
            <w:tcW w:w="567" w:type="dxa"/>
            <w:tcBorders>
              <w:bottom w:val="single" w:sz="12" w:space="0" w:color="000000"/>
            </w:tcBorders>
            <w:vAlign w:val="center"/>
          </w:tcPr>
          <w:p w14:paraId="36A61786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14:paraId="1CE1500A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Res</w:t>
            </w:r>
            <w:r w:rsidRPr="00775A98">
              <w:rPr>
                <w:sz w:val="18"/>
                <w:szCs w:val="18"/>
              </w:rPr>
              <w:t>ver</w:t>
            </w:r>
            <w:r w:rsidRPr="00B71D3B">
              <w:rPr>
                <w:sz w:val="18"/>
                <w:szCs w:val="18"/>
              </w:rPr>
              <w:t>atrol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14:paraId="0AC859BE" w14:textId="77777777" w:rsidR="001B0A00" w:rsidRPr="009A3755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B71D3B">
              <w:rPr>
                <w:sz w:val="18"/>
                <w:szCs w:val="18"/>
              </w:rPr>
              <w:t>DB02709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14:paraId="432773CA" w14:textId="2F8E291C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CTD, [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begin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instrText xml:space="preserve"> REF _Ref134380923 \r \h </w:instrTex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separate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B91D4D6" w14:textId="77777777" w:rsidR="001B0A00" w:rsidRPr="00B71D3B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2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049F0863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Methylprednisolone hemisuccinate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14:paraId="64116DFE" w14:textId="77777777" w:rsidR="001B0A00" w:rsidRPr="00B71D3B" w:rsidRDefault="001B0A00" w:rsidP="00787C7B">
            <w:pPr>
              <w:ind w:firstLine="0"/>
              <w:jc w:val="left"/>
              <w:rPr>
                <w:sz w:val="18"/>
                <w:szCs w:val="18"/>
              </w:rPr>
            </w:pPr>
            <w:r w:rsidRPr="00E03800">
              <w:rPr>
                <w:sz w:val="18"/>
                <w:szCs w:val="18"/>
              </w:rPr>
              <w:t>DB14644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14:paraId="0BB593AD" w14:textId="28C18214" w:rsidR="001B0A00" w:rsidRPr="00CD2BB0" w:rsidRDefault="001B0A00" w:rsidP="00787C7B">
            <w:pPr>
              <w:ind w:firstLine="0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CTD, [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begin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instrText xml:space="preserve"> REF _Ref134381348 \r \h </w:instrTex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separate"/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t>5</w:t>
            </w:r>
            <w:r w:rsidR="00272180">
              <w:rPr>
                <w:rFonts w:eastAsiaTheme="minorEastAsia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]</w:t>
            </w:r>
          </w:p>
        </w:tc>
      </w:tr>
    </w:tbl>
    <w:p w14:paraId="340D5832" w14:textId="6A6AB050" w:rsidR="00BD3CEF" w:rsidRDefault="00DA11BB" w:rsidP="00DA11BB">
      <w:pPr>
        <w:pStyle w:val="referenceitem"/>
        <w:numPr>
          <w:ilvl w:val="0"/>
          <w:numId w:val="1"/>
        </w:numPr>
      </w:pPr>
      <w:bookmarkStart w:id="2" w:name="_Ref134380923"/>
      <w:r w:rsidRPr="00214859">
        <w:t>Sawda C, Moussa C, Turner RS. Resveratrol for Alzheimer's disease. Ann N Y Acad Sci. 2017 Sep;1403(1):142-149. doi: 10.1111/nyas.13431. Epub 2017 Aug 16. PMID: 28815614; PMCID: PMC5664214</w:t>
      </w:r>
      <w:r>
        <w:t>, (2017)</w:t>
      </w:r>
      <w:r w:rsidRPr="00214859">
        <w:t>.</w:t>
      </w:r>
      <w:bookmarkEnd w:id="2"/>
    </w:p>
    <w:p w14:paraId="04705A73" w14:textId="77777777" w:rsidR="00DA11BB" w:rsidRDefault="00DA11BB" w:rsidP="00DA11BB">
      <w:pPr>
        <w:pStyle w:val="referenceitem"/>
        <w:numPr>
          <w:ilvl w:val="0"/>
          <w:numId w:val="1"/>
        </w:numPr>
      </w:pPr>
      <w:bookmarkStart w:id="3" w:name="_Ref134381185"/>
      <w:r w:rsidRPr="000D34A4">
        <w:t>Mintzer J, Lanctôt KL, Scherer RW, Rosenberg PB, Herrmann N, van Dyck CH, Padala PR, Brawman-Mintzer O, Porsteinsson AP, Lerner AJ, Craft S, Levey AI, Burke W, Perin J, Shade D; ADMET 2 Research Group. Effect of Methylphenidate on Apathy in Patients With Alzheimer Disease: The ADMET 2 Randomized Clinical Trial. JAMA Neurol. 2021 Nov 1;78(11):1324-1332. doi: 10.1001/jamaneurol.2021.3356. PMID: 34570180; PMCID: PMC8477302</w:t>
      </w:r>
      <w:r>
        <w:t>, (2021)</w:t>
      </w:r>
      <w:r w:rsidRPr="000D34A4">
        <w:t>.</w:t>
      </w:r>
      <w:bookmarkEnd w:id="3"/>
    </w:p>
    <w:p w14:paraId="280532A3" w14:textId="77777777" w:rsidR="00DA11BB" w:rsidRDefault="00DA11BB" w:rsidP="00DA11BB">
      <w:pPr>
        <w:pStyle w:val="referenceitem"/>
        <w:numPr>
          <w:ilvl w:val="0"/>
          <w:numId w:val="1"/>
        </w:numPr>
      </w:pPr>
      <w:bookmarkStart w:id="4" w:name="_Ref134381211"/>
      <w:r w:rsidRPr="00AF4C07">
        <w:t>Rosenberg PB, Lanctôt KL, Drye LT, Herrmann N, Scherer RW, Bachman DL, Mintzer JE, ADMET Investigators. Safety and efficacy of methylphenidate for apathy in Alzheimer's disease: a randomized, placebo-controlled trial. J Clin Psychiatry. 2013 Aug;74(8):810-6. doi: 10.4088/JCP.12m08099. PMID: 24021498; PMCID: PMC3902018</w:t>
      </w:r>
      <w:r>
        <w:t>, (2013)</w:t>
      </w:r>
      <w:r w:rsidRPr="00AF4C07">
        <w:t>.</w:t>
      </w:r>
      <w:bookmarkEnd w:id="4"/>
    </w:p>
    <w:p w14:paraId="0494ADFB" w14:textId="77777777" w:rsidR="00DA11BB" w:rsidRDefault="00DA11BB" w:rsidP="00DA11BB">
      <w:pPr>
        <w:pStyle w:val="referenceitem"/>
        <w:numPr>
          <w:ilvl w:val="0"/>
          <w:numId w:val="1"/>
        </w:numPr>
      </w:pPr>
      <w:bookmarkStart w:id="5" w:name="_Ref132309776"/>
      <w:r w:rsidRPr="000B4B95">
        <w:t>Kilbourn MR, DaSilva JN, Frey KA, et al. In vivo imaging of</w:t>
      </w:r>
      <w:r w:rsidRPr="000B4B95">
        <w:rPr>
          <w:rFonts w:hint="eastAsia"/>
        </w:rPr>
        <w:t xml:space="preserve"> </w:t>
      </w:r>
      <w:r w:rsidRPr="000B4B95">
        <w:t>vesicular monoamine transporters in human brain using</w:t>
      </w:r>
      <w:r w:rsidRPr="000B4B95">
        <w:rPr>
          <w:rFonts w:hint="eastAsia"/>
        </w:rPr>
        <w:t xml:space="preserve"> </w:t>
      </w:r>
      <w:r w:rsidRPr="000B4B95">
        <w:t>[11C] tetrabenazine and positron emission tomography. J</w:t>
      </w:r>
      <w:r w:rsidRPr="000B4B95">
        <w:rPr>
          <w:rFonts w:hint="eastAsia"/>
        </w:rPr>
        <w:t xml:space="preserve"> </w:t>
      </w:r>
      <w:r w:rsidRPr="000B4B95">
        <w:t>Neurochem;60:2315–8, (1993).</w:t>
      </w:r>
      <w:bookmarkEnd w:id="5"/>
    </w:p>
    <w:p w14:paraId="3D7BC26E" w14:textId="77777777" w:rsidR="00DA11BB" w:rsidRDefault="00DA11BB" w:rsidP="00DA11BB">
      <w:pPr>
        <w:pStyle w:val="referenceitem"/>
        <w:numPr>
          <w:ilvl w:val="0"/>
          <w:numId w:val="1"/>
        </w:numPr>
      </w:pPr>
      <w:bookmarkStart w:id="6" w:name="_Ref134381348"/>
      <w:r w:rsidRPr="00B908CB">
        <w:t>Alisky JM. Intrathecal corticosteroids might slow Alzheimer's disease progression. Neuropsychiatr Dis Treat. 2008 Oct;4(5):831-3. doi: 10.2147/ndt.s3685. PMID: 19183775; PMCID: PMC2626920</w:t>
      </w:r>
      <w:r>
        <w:t>, (2008)</w:t>
      </w:r>
      <w:r w:rsidRPr="00B908CB">
        <w:t>.</w:t>
      </w:r>
      <w:bookmarkEnd w:id="6"/>
    </w:p>
    <w:p w14:paraId="480BB6CB" w14:textId="77777777" w:rsidR="00DA11BB" w:rsidRDefault="00DA11BB" w:rsidP="00DA11BB">
      <w:pPr>
        <w:pStyle w:val="referenceitem"/>
        <w:ind w:left="227"/>
      </w:pPr>
    </w:p>
    <w:sectPr w:rsidR="00DA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7F9E" w14:textId="77777777" w:rsidR="00164E3A" w:rsidRDefault="00164E3A" w:rsidP="00BD3CEF">
      <w:pPr>
        <w:spacing w:line="240" w:lineRule="auto"/>
      </w:pPr>
      <w:r>
        <w:separator/>
      </w:r>
    </w:p>
  </w:endnote>
  <w:endnote w:type="continuationSeparator" w:id="0">
    <w:p w14:paraId="620CC46A" w14:textId="77777777" w:rsidR="00164E3A" w:rsidRDefault="00164E3A" w:rsidP="00BD3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6A41" w14:textId="77777777" w:rsidR="00164E3A" w:rsidRDefault="00164E3A" w:rsidP="00BD3CEF">
      <w:pPr>
        <w:spacing w:line="240" w:lineRule="auto"/>
      </w:pPr>
      <w:r>
        <w:separator/>
      </w:r>
    </w:p>
  </w:footnote>
  <w:footnote w:type="continuationSeparator" w:id="0">
    <w:p w14:paraId="779C045B" w14:textId="77777777" w:rsidR="00164E3A" w:rsidRDefault="00164E3A" w:rsidP="00BD3C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340AB78C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72CF36E1"/>
    <w:multiLevelType w:val="multilevel"/>
    <w:tmpl w:val="34C0F2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9521C8"/>
    <w:multiLevelType w:val="multilevel"/>
    <w:tmpl w:val="B9E4F7CE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598416815">
    <w:abstractNumId w:val="2"/>
  </w:num>
  <w:num w:numId="2" w16cid:durableId="48264204">
    <w:abstractNumId w:val="1"/>
  </w:num>
  <w:num w:numId="3" w16cid:durableId="15364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F0"/>
    <w:rsid w:val="00052B8D"/>
    <w:rsid w:val="00055895"/>
    <w:rsid w:val="00110BFB"/>
    <w:rsid w:val="00132CE1"/>
    <w:rsid w:val="00150FA6"/>
    <w:rsid w:val="00164E3A"/>
    <w:rsid w:val="00171017"/>
    <w:rsid w:val="00182BBD"/>
    <w:rsid w:val="001B0A00"/>
    <w:rsid w:val="001F5CA9"/>
    <w:rsid w:val="00272180"/>
    <w:rsid w:val="002E5C03"/>
    <w:rsid w:val="00386233"/>
    <w:rsid w:val="0040738E"/>
    <w:rsid w:val="004610F0"/>
    <w:rsid w:val="004E4774"/>
    <w:rsid w:val="004F7B87"/>
    <w:rsid w:val="005912DF"/>
    <w:rsid w:val="006240D5"/>
    <w:rsid w:val="007A3F48"/>
    <w:rsid w:val="00897B72"/>
    <w:rsid w:val="008A06BE"/>
    <w:rsid w:val="00A24D70"/>
    <w:rsid w:val="00A90026"/>
    <w:rsid w:val="00BD3CEF"/>
    <w:rsid w:val="00CB23D8"/>
    <w:rsid w:val="00CD14B5"/>
    <w:rsid w:val="00D87F7E"/>
    <w:rsid w:val="00DA11BB"/>
    <w:rsid w:val="00DB3936"/>
    <w:rsid w:val="00DC2B62"/>
    <w:rsid w:val="00E14EB2"/>
    <w:rsid w:val="00E2762E"/>
    <w:rsid w:val="00E72201"/>
    <w:rsid w:val="00EA042C"/>
    <w:rsid w:val="00EC2690"/>
    <w:rsid w:val="00ED784B"/>
    <w:rsid w:val="00F008D7"/>
    <w:rsid w:val="00F34C74"/>
    <w:rsid w:val="00F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226CD"/>
  <w15:chartTrackingRefBased/>
  <w15:docId w15:val="{822243BC-AF90-46DA-8185-D1AF5E97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CEF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C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CEF"/>
    <w:rPr>
      <w:sz w:val="18"/>
      <w:szCs w:val="18"/>
    </w:rPr>
  </w:style>
  <w:style w:type="paragraph" w:customStyle="1" w:styleId="tablecaption">
    <w:name w:val="tablecaption"/>
    <w:basedOn w:val="a"/>
    <w:next w:val="a"/>
    <w:qFormat/>
    <w:rsid w:val="00BD3CEF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paragraph" w:customStyle="1" w:styleId="figurecaption">
    <w:name w:val="figurecaption"/>
    <w:basedOn w:val="a"/>
    <w:next w:val="a"/>
    <w:qFormat/>
    <w:rsid w:val="00D87F7E"/>
    <w:pPr>
      <w:keepNext/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referenceitem">
    <w:name w:val="referenceitem"/>
    <w:basedOn w:val="a"/>
    <w:qFormat/>
    <w:rsid w:val="00DA11BB"/>
    <w:pPr>
      <w:spacing w:line="220" w:lineRule="atLeast"/>
      <w:ind w:firstLine="0"/>
    </w:pPr>
    <w:rPr>
      <w:sz w:val="18"/>
    </w:rPr>
  </w:style>
  <w:style w:type="numbering" w:customStyle="1" w:styleId="referencelist">
    <w:name w:val="referencelist"/>
    <w:basedOn w:val="a2"/>
    <w:semiHidden/>
    <w:rsid w:val="00DA11BB"/>
    <w:pPr>
      <w:numPr>
        <w:numId w:val="1"/>
      </w:numPr>
    </w:pPr>
  </w:style>
  <w:style w:type="paragraph" w:customStyle="1" w:styleId="heading1">
    <w:name w:val="heading1"/>
    <w:basedOn w:val="a"/>
    <w:next w:val="a"/>
    <w:qFormat/>
    <w:rsid w:val="00E2762E"/>
    <w:pPr>
      <w:keepNext/>
      <w:keepLines/>
      <w:numPr>
        <w:numId w:val="2"/>
      </w:numPr>
      <w:tabs>
        <w:tab w:val="num" w:pos="567"/>
      </w:tabs>
      <w:suppressAutoHyphens/>
      <w:spacing w:before="360" w:after="240" w:line="300" w:lineRule="atLeast"/>
      <w:ind w:left="567" w:right="567" w:hanging="567"/>
      <w:jc w:val="left"/>
      <w:outlineLvl w:val="0"/>
    </w:pPr>
    <w:rPr>
      <w:b/>
      <w:sz w:val="24"/>
    </w:rPr>
  </w:style>
  <w:style w:type="paragraph" w:customStyle="1" w:styleId="bulletitem">
    <w:name w:val="bulletitem"/>
    <w:basedOn w:val="a"/>
    <w:qFormat/>
    <w:rsid w:val="00110BFB"/>
    <w:pPr>
      <w:numPr>
        <w:numId w:val="3"/>
      </w:numPr>
      <w:spacing w:before="160" w:after="160"/>
      <w:contextualSpacing/>
    </w:pPr>
  </w:style>
  <w:style w:type="numbering" w:customStyle="1" w:styleId="itemization1">
    <w:name w:val="itemization1"/>
    <w:basedOn w:val="a2"/>
    <w:rsid w:val="00110BF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羽</dc:creator>
  <cp:keywords/>
  <dc:description/>
  <cp:lastModifiedBy>蒋 羽</cp:lastModifiedBy>
  <cp:revision>27</cp:revision>
  <dcterms:created xsi:type="dcterms:W3CDTF">2023-05-13T08:01:00Z</dcterms:created>
  <dcterms:modified xsi:type="dcterms:W3CDTF">2023-05-17T01:29:00Z</dcterms:modified>
</cp:coreProperties>
</file>