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B1221"/>
          <w:sz w:val="48"/>
          <w:szCs w:val="48"/>
        </w:rPr>
        <w:t xml:space="preserve">POSEIDON.AI</w:t>
      </w:r>
    </w:p>
    <w:p>
      <w:pPr>
        <w:spacing w:before="0" w:after="60"/>
      </w:pPr>
      <w:r>
        <w:rPr>
          <w:rFonts w:ascii="Arial" w:cs="Arial" w:eastAsia="Arial" w:hAnsi="Arial"/>
          <w:b/>
          <w:bCs/>
          <w:color w:val="1E3A5F"/>
          <w:sz w:val="34"/>
          <w:szCs w:val="34"/>
        </w:rPr>
        <w:t xml:space="preserve">MIT Final Presentation Readiness Audit</w:t>
      </w:r>
    </w:p>
    <w:p>
      <w:pPr>
        <w:pBdr>
          <w:bottom w:val="single" w:color="2E75B6" w:sz="8" w:space="4"/>
        </w:pBdr>
        <w:spacing w:before="0" w:after="240"/>
      </w:pPr>
      <w:r>
        <w:rPr>
          <w:rFonts w:ascii="Arial" w:cs="Arial" w:eastAsia="Arial" w:hAnsi="Arial"/>
          <w:color w:val="7F8C8D"/>
          <w:sz w:val="20"/>
          <w:szCs w:val="20"/>
        </w:rPr>
        <w:t xml:space="preserve">Audit date: 2026-02-19  ·  Scope: 54 routes across 12 dimensions  ·  Method: Source-code static analysis</w:t>
      </w:r>
    </w:p>
    <w:p>
      <w:pPr>
        <w:pStyle w:val="Heading2"/>
      </w:pPr>
      <w:r>
        <w:t xml:space="preserve">Scope &amp; Methodology</w:t>
      </w:r>
    </w:p>
    <w:p>
      <w:pPr>
        <w:spacing w:after="200"/>
      </w:pPr>
      <w:r>
        <w:rPr>
          <w:rFonts w:ascii="Arial" w:cs="Arial" w:eastAsia="Arial" w:hAnsi="Arial"/>
          <w:color w:val="2C3E50"/>
          <w:sz w:val="20"/>
          <w:szCs w:val="20"/>
        </w:rPr>
        <w:t xml:space="preserve">Source code analysis of the Poseidon.AI React 19 SPA (src/pages/, src/components/, src/router/, src/contracts/). All 54 routes audited across 12 dimensions: Visual Polish, Typography &amp; Content, Navigation &amp; IA, User Journey Continuity, Data Realism &amp; Narrative Coherence, Interaction Quality, Responsive/Presentation Display, Animation &amp; Motion, Empty States &amp; Edge Cases, Trust &amp; Credibility, Brand Consistency, and Performance &amp; Technical Polish. Priority framework: Demo Golden Path first, then Landing-to-Dashboard funnel, then cross-engine data coherence, then visual polish.</w:t>
      </w:r>
    </w:p>
    <w:p>
      <w:pPr>
        <w:pStyle w:val="Heading2"/>
      </w:pPr>
      <w:r>
        <w:t xml:space="preserve">Critical Structural Finding</w:t>
      </w:r>
    </w:p>
    <w:p>
      <w:pPr>
        <w:spacing w:after="80"/>
      </w:pPr>
      <w:r>
        <w:rPr>
          <w:rFonts w:ascii="Arial" w:cs="Arial" w:eastAsia="Arial" w:hAnsi="Arial"/>
          <w:color w:val="2C3E50"/>
          <w:sz w:val="20"/>
          <w:szCs w:val="20"/>
        </w:rPr>
        <w:t xml:space="preserve">The router uses a TARGET_SCOPE_READY_ROUTES contract that gates 21 of 54 routes as live content. The remaining 33 routes fall back to a generic ComingSoon page. Multiple routes that are visible in primary navigation and on the demo golden path hit this dead end. This single architectural decision is the root cause of approximately 12 of the 40 findings below.</w:t>
      </w:r>
    </w:p>
    <w:p>
      <w:pPr>
        <w:spacing w:after="240"/>
      </w:pPr>
      <w:r>
        <w:rPr>
          <w:rFonts w:ascii="Arial" w:cs="Arial" w:eastAsia="Arial" w:hAnsi="Arial"/>
          <w:b/>
          <w:bCs/>
          <w:color w:val="C0392B"/>
          <w:sz w:val="20"/>
          <w:szCs w:val="20"/>
        </w:rPr>
        <w:t xml:space="preserve">Immediate fix: For each affected route in TARGET_SCOPE_READY_ROUTES, the source .tsx file already exists and is complete — the only change required is adding the path string to the contract array and removing the comingSoonLoader override.</w:t>
      </w:r>
    </w:p>
    <w:p>
      <w:pPr>
        <w:pStyle w:val="Heading2"/>
      </w:pPr>
      <w:r>
        <w:t xml:space="preserve">Finding Summary by Severity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2160"/>
        <w:gridCol w:w="7920"/>
      </w:tblGrid>
      <w:tr>
        <w:tc>
          <w:tcPr>
            <w:tcW w:type="dxa" w:w="2880"/>
            <w:tcBorders>
              <w:top w:val="single" w:color="AAAAAA" w:sz="4"/>
              <w:left w:val="single" w:color="AAAAAA" w:sz="4"/>
              <w:bottom w:val="single" w:color="AAAAAA" w:sz="4"/>
              <w:right w:val="single" w:color="AAAAAA" w:sz="4"/>
            </w:tcBorders>
            <w:shd w:fill="0B1221"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1440"/>
            <w:tcBorders>
              <w:top w:val="single" w:color="AAAAAA" w:sz="4"/>
              <w:left w:val="single" w:color="AAAAAA" w:sz="4"/>
              <w:bottom w:val="single" w:color="AAAAAA" w:sz="4"/>
              <w:right w:val="single" w:color="AAAAAA" w:sz="4"/>
            </w:tcBorders>
            <w:shd w:fill="0B1221"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2160"/>
            <w:tcBorders>
              <w:top w:val="single" w:color="AAAAAA" w:sz="4"/>
              <w:left w:val="single" w:color="AAAAAA" w:sz="4"/>
              <w:bottom w:val="single" w:color="AAAAAA" w:sz="4"/>
              <w:right w:val="single" w:color="AAAAAA" w:sz="4"/>
            </w:tcBorders>
            <w:shd w:fill="0B1221" w:val="clear"/>
            <w:tcMar>
              <w:top w:type="dxa" w:w="80"/>
              <w:left w:type="dxa" w:w="120"/>
              <w:bottom w:type="dxa" w:w="80"/>
              <w:right w:type="dxa" w:w="120"/>
            </w:tcMar>
            <w:vAlign w:val="center"/>
          </w:tcPr>
          <w:p>
            <w:r>
              <w:rPr>
                <w:rFonts w:ascii="Arial" w:cs="Arial" w:eastAsia="Arial" w:hAnsi="Arial"/>
                <w:b/>
                <w:bCs/>
                <w:color w:val="FFFFFF"/>
                <w:sz w:val="20"/>
                <w:szCs w:val="20"/>
              </w:rPr>
              <w:t xml:space="preserve">% of Findings</w:t>
            </w:r>
          </w:p>
        </w:tc>
        <w:tc>
          <w:tcPr>
            <w:tcW w:type="dxa" w:w="7920"/>
            <w:tcBorders>
              <w:top w:val="single" w:color="AAAAAA" w:sz="4"/>
              <w:left w:val="single" w:color="AAAAAA" w:sz="4"/>
              <w:bottom w:val="single" w:color="AAAAAA" w:sz="4"/>
              <w:right w:val="single" w:color="AAAAAA" w:sz="4"/>
            </w:tcBorders>
            <w:shd w:fill="0B1221"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Required</w:t>
            </w:r>
          </w:p>
        </w:tc>
      </w:tr>
      <w:tr>
        <w:tc>
          <w:tcPr>
            <w:tcW w:type="dxa" w:w="288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center"/>
          </w:tcPr>
          <w:p>
            <w:r>
              <w:rPr>
                <w:rFonts w:ascii="Arial" w:cs="Arial" w:eastAsia="Arial" w:hAnsi="Arial"/>
                <w:b/>
                <w:bCs/>
                <w:color w:val="C0392B"/>
                <w:sz w:val="18"/>
                <w:szCs w:val="18"/>
              </w:rPr>
              <w:t xml:space="preserve">Critical</w:t>
            </w:r>
          </w:p>
        </w:tc>
        <w:tc>
          <w:tcPr>
            <w:tcW w:type="dxa" w:w="144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r>
              <w:rPr>
                <w:rFonts w:ascii="Arial" w:cs="Arial" w:eastAsia="Arial" w:hAnsi="Arial"/>
                <w:b/>
                <w:bCs/>
                <w:color w:val="2C3E50"/>
                <w:sz w:val="18"/>
                <w:szCs w:val="18"/>
              </w:rPr>
              <w:t xml:space="preserve">4</w:t>
            </w:r>
          </w:p>
        </w:tc>
        <w:tc>
          <w:tcPr>
            <w:tcW w:type="dxa" w:w="216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10%</w:t>
            </w:r>
          </w:p>
        </w:tc>
        <w:tc>
          <w:tcPr>
            <w:tcW w:type="dxa" w:w="792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Fix before demo day — blocks golden path or undermines credibility fatally</w:t>
            </w:r>
          </w:p>
        </w:tc>
      </w:tr>
      <w:tr>
        <w:tc>
          <w:tcPr>
            <w:tcW w:type="dxa" w:w="2880"/>
            <w:tcBorders>
              <w:top w:val="single" w:color="CCCCCC" w:sz="4"/>
              <w:left w:val="single" w:color="CCCCCC" w:sz="4"/>
              <w:bottom w:val="single" w:color="CCCCCC" w:sz="4"/>
              <w:right w:val="single" w:color="CCCCCC" w:sz="4"/>
            </w:tcBorders>
            <w:shd w:fill="FEF0E6" w:val="clear"/>
            <w:tcMar>
              <w:top w:type="dxa" w:w="80"/>
              <w:left w:type="dxa" w:w="120"/>
              <w:bottom w:type="dxa" w:w="80"/>
              <w:right w:type="dxa" w:w="120"/>
            </w:tcMar>
            <w:vAlign w:val="center"/>
          </w:tcPr>
          <w:p>
            <w:r>
              <w:rPr>
                <w:rFonts w:ascii="Arial" w:cs="Arial" w:eastAsia="Arial" w:hAnsi="Arial"/>
                <w:b/>
                <w:bCs/>
                <w:color w:val="E67E22"/>
                <w:sz w:val="18"/>
                <w:szCs w:val="18"/>
              </w:rPr>
              <w:t xml:space="preserve">High</w:t>
            </w:r>
          </w:p>
        </w:tc>
        <w:tc>
          <w:tcPr>
            <w:tcW w:type="dxa" w:w="1440"/>
            <w:tcBorders>
              <w:top w:val="single" w:color="CCCCCC" w:sz="4"/>
              <w:left w:val="single" w:color="CCCCCC" w:sz="4"/>
              <w:bottom w:val="single" w:color="CCCCCC" w:sz="4"/>
              <w:right w:val="single" w:color="CCCCCC" w:sz="4"/>
            </w:tcBorders>
            <w:shd w:fill="FEF0E6" w:val="clear"/>
            <w:tcMar>
              <w:top w:type="dxa" w:w="80"/>
              <w:left w:type="dxa" w:w="120"/>
              <w:bottom w:type="dxa" w:w="80"/>
              <w:right w:type="dxa" w:w="120"/>
            </w:tcMar>
            <w:vAlign w:val="top"/>
          </w:tcPr>
          <w:p>
            <w:r>
              <w:rPr>
                <w:rFonts w:ascii="Arial" w:cs="Arial" w:eastAsia="Arial" w:hAnsi="Arial"/>
                <w:b/>
                <w:bCs/>
                <w:color w:val="2C3E50"/>
                <w:sz w:val="18"/>
                <w:szCs w:val="18"/>
              </w:rPr>
              <w:t xml:space="preserve">12</w:t>
            </w:r>
          </w:p>
        </w:tc>
        <w:tc>
          <w:tcPr>
            <w:tcW w:type="dxa" w:w="2160"/>
            <w:tcBorders>
              <w:top w:val="single" w:color="CCCCCC" w:sz="4"/>
              <w:left w:val="single" w:color="CCCCCC" w:sz="4"/>
              <w:bottom w:val="single" w:color="CCCCCC" w:sz="4"/>
              <w:right w:val="single" w:color="CCCCCC" w:sz="4"/>
            </w:tcBorders>
            <w:shd w:fill="FEF0E6"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30%</w:t>
            </w:r>
          </w:p>
        </w:tc>
        <w:tc>
          <w:tcPr>
            <w:tcW w:type="dxa" w:w="7920"/>
            <w:tcBorders>
              <w:top w:val="single" w:color="CCCCCC" w:sz="4"/>
              <w:left w:val="single" w:color="CCCCCC" w:sz="4"/>
              <w:bottom w:val="single" w:color="CCCCCC" w:sz="4"/>
              <w:right w:val="single" w:color="CCCCCC" w:sz="4"/>
            </w:tcBorders>
            <w:shd w:fill="FEF0E6"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Fix within 48h — significantly degrades demo quality or narrative coherence</w:t>
            </w:r>
          </w:p>
        </w:tc>
      </w:tr>
      <w:tr>
        <w:tc>
          <w:tcPr>
            <w:tcW w:type="dxa" w:w="2880"/>
            <w:tcBorders>
              <w:top w:val="single" w:color="CCCCCC" w:sz="4"/>
              <w:left w:val="single" w:color="CCCCCC" w:sz="4"/>
              <w:bottom w:val="single" w:color="CCCCCC" w:sz="4"/>
              <w:right w:val="single" w:color="CCCCCC" w:sz="4"/>
            </w:tcBorders>
            <w:shd w:fill="FEF9E6" w:val="clear"/>
            <w:tcMar>
              <w:top w:type="dxa" w:w="80"/>
              <w:left w:type="dxa" w:w="120"/>
              <w:bottom w:type="dxa" w:w="80"/>
              <w:right w:type="dxa" w:w="120"/>
            </w:tcMar>
            <w:vAlign w:val="center"/>
          </w:tcPr>
          <w:p>
            <w:r>
              <w:rPr>
                <w:rFonts w:ascii="Arial" w:cs="Arial" w:eastAsia="Arial" w:hAnsi="Arial"/>
                <w:b/>
                <w:bCs/>
                <w:color w:val="B7860B"/>
                <w:sz w:val="18"/>
                <w:szCs w:val="18"/>
              </w:rPr>
              <w:t xml:space="preserve">Medium</w:t>
            </w:r>
          </w:p>
        </w:tc>
        <w:tc>
          <w:tcPr>
            <w:tcW w:type="dxa" w:w="1440"/>
            <w:tcBorders>
              <w:top w:val="single" w:color="CCCCCC" w:sz="4"/>
              <w:left w:val="single" w:color="CCCCCC" w:sz="4"/>
              <w:bottom w:val="single" w:color="CCCCCC" w:sz="4"/>
              <w:right w:val="single" w:color="CCCCCC" w:sz="4"/>
            </w:tcBorders>
            <w:shd w:fill="FEF9E6" w:val="clear"/>
            <w:tcMar>
              <w:top w:type="dxa" w:w="80"/>
              <w:left w:type="dxa" w:w="120"/>
              <w:bottom w:type="dxa" w:w="80"/>
              <w:right w:type="dxa" w:w="120"/>
            </w:tcMar>
            <w:vAlign w:val="top"/>
          </w:tcPr>
          <w:p>
            <w:r>
              <w:rPr>
                <w:rFonts w:ascii="Arial" w:cs="Arial" w:eastAsia="Arial" w:hAnsi="Arial"/>
                <w:b/>
                <w:bCs/>
                <w:color w:val="2C3E50"/>
                <w:sz w:val="18"/>
                <w:szCs w:val="18"/>
              </w:rPr>
              <w:t xml:space="preserve">18</w:t>
            </w:r>
          </w:p>
        </w:tc>
        <w:tc>
          <w:tcPr>
            <w:tcW w:type="dxa" w:w="2160"/>
            <w:tcBorders>
              <w:top w:val="single" w:color="CCCCCC" w:sz="4"/>
              <w:left w:val="single" w:color="CCCCCC" w:sz="4"/>
              <w:bottom w:val="single" w:color="CCCCCC" w:sz="4"/>
              <w:right w:val="single" w:color="CCCCCC" w:sz="4"/>
            </w:tcBorders>
            <w:shd w:fill="FEF9E6"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45%</w:t>
            </w:r>
          </w:p>
        </w:tc>
        <w:tc>
          <w:tcPr>
            <w:tcW w:type="dxa" w:w="7920"/>
            <w:tcBorders>
              <w:top w:val="single" w:color="CCCCCC" w:sz="4"/>
              <w:left w:val="single" w:color="CCCCCC" w:sz="4"/>
              <w:bottom w:val="single" w:color="CCCCCC" w:sz="4"/>
              <w:right w:val="single" w:color="CCCCCC" w:sz="4"/>
            </w:tcBorders>
            <w:shd w:fill="FEF9E6"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Fix within 1 week — noticeable gap but demo survives without it</w:t>
            </w:r>
          </w:p>
        </w:tc>
      </w:tr>
      <w:tr>
        <w:tc>
          <w:tcPr>
            <w:tcW w:type="dxa" w:w="288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center"/>
          </w:tcPr>
          <w:p>
            <w:r>
              <w:rPr>
                <w:rFonts w:ascii="Arial" w:cs="Arial" w:eastAsia="Arial" w:hAnsi="Arial"/>
                <w:b/>
                <w:bCs/>
                <w:color w:val="27AE60"/>
                <w:sz w:val="18"/>
                <w:szCs w:val="18"/>
              </w:rPr>
              <w:t xml:space="preserve">Low</w:t>
            </w:r>
          </w:p>
        </w:tc>
        <w:tc>
          <w:tcPr>
            <w:tcW w:type="dxa" w:w="144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top"/>
          </w:tcPr>
          <w:p>
            <w:r>
              <w:rPr>
                <w:rFonts w:ascii="Arial" w:cs="Arial" w:eastAsia="Arial" w:hAnsi="Arial"/>
                <w:b/>
                <w:bCs/>
                <w:color w:val="2C3E50"/>
                <w:sz w:val="18"/>
                <w:szCs w:val="18"/>
              </w:rPr>
              <w:t xml:space="preserve">6</w:t>
            </w:r>
          </w:p>
        </w:tc>
        <w:tc>
          <w:tcPr>
            <w:tcW w:type="dxa" w:w="216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15%</w:t>
            </w:r>
          </w:p>
        </w:tc>
        <w:tc>
          <w:tcPr>
            <w:tcW w:type="dxa" w:w="792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Nice to have — polish items for post-presentation cleanup</w:t>
            </w:r>
          </w:p>
        </w:tc>
      </w:tr>
      <w:tr>
        <w:tc>
          <w:tcPr>
            <w:tcW w:type="dxa" w:w="28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top"/>
          </w:tcPr>
          <w:p>
            <w:r>
              <w:rPr>
                <w:rFonts w:ascii="Arial" w:cs="Arial" w:eastAsia="Arial" w:hAnsi="Arial"/>
                <w:b/>
                <w:bCs/>
                <w:color w:val="2C3E50"/>
                <w:sz w:val="18"/>
                <w:szCs w:val="18"/>
              </w:rPr>
              <w:t xml:space="preserve">TOTAL</w:t>
            </w:r>
          </w:p>
        </w:tc>
        <w:tc>
          <w:tcPr>
            <w:tcW w:type="dxa" w:w="144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top"/>
          </w:tcPr>
          <w:p>
            <w:r>
              <w:rPr>
                <w:rFonts w:ascii="Arial" w:cs="Arial" w:eastAsia="Arial" w:hAnsi="Arial"/>
                <w:b/>
                <w:bCs/>
                <w:color w:val="2C3E50"/>
                <w:sz w:val="18"/>
                <w:szCs w:val="18"/>
              </w:rPr>
              <w:t xml:space="preserve">40</w:t>
            </w:r>
          </w:p>
        </w:tc>
        <w:tc>
          <w:tcPr>
            <w:tcW w:type="dxa" w:w="21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top"/>
          </w:tcPr>
          <w:p>
            <w:r>
              <w:rPr>
                <w:rFonts w:ascii="Arial" w:cs="Arial" w:eastAsia="Arial" w:hAnsi="Arial"/>
                <w:b/>
                <w:bCs/>
                <w:color w:val="2C3E50"/>
                <w:sz w:val="18"/>
                <w:szCs w:val="18"/>
              </w:rPr>
              <w:t xml:space="preserve">100%</w:t>
            </w:r>
          </w:p>
        </w:tc>
        <w:tc>
          <w:tcPr>
            <w:tcW w:type="dxa" w:w="792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
            </w:r>
          </w:p>
        </w:tc>
      </w:tr>
    </w:tbl>
    <w:p>
      <w:r>
        <w:br w:type="page"/>
      </w:r>
    </w:p>
    <w:p>
      <w:pPr>
        <w:pStyle w:val="Heading2"/>
      </w:pPr>
      <w:r>
        <w:t xml:space="preserve">Detailed Findings Table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1500"/>
        <w:gridCol w:w="900"/>
        <w:gridCol w:w="5200"/>
        <w:gridCol w:w="4800"/>
      </w:tblGrid>
      <w:tr>
        <w:trPr>
          <w:tblHeader/>
        </w:trPr>
        <w:tc>
          <w:tcPr>
            <w:tcW w:type="dxa" w:w="400"/>
            <w:tcBorders>
              <w:top w:val="single" w:color="AAAAAA" w:sz="4"/>
              <w:left w:val="single" w:color="AAAAAA" w:sz="4"/>
              <w:bottom w:val="single" w:color="AAAAAA" w:sz="4"/>
              <w:right w:val="single" w:color="AAAAAA" w:sz="4"/>
            </w:tcBorders>
            <w:shd w:fill="0B1221"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600"/>
            <w:tcBorders>
              <w:top w:val="single" w:color="AAAAAA" w:sz="4"/>
              <w:left w:val="single" w:color="AAAAAA" w:sz="4"/>
              <w:bottom w:val="single" w:color="AAAAAA" w:sz="4"/>
              <w:right w:val="single" w:color="AAAAAA" w:sz="4"/>
            </w:tcBorders>
            <w:shd w:fill="0B1221" w:val="clear"/>
            <w:tcMar>
              <w:top w:type="dxa" w:w="80"/>
              <w:left w:type="dxa" w:w="120"/>
              <w:bottom w:type="dxa" w:w="80"/>
              <w:right w:type="dxa" w:w="120"/>
            </w:tcMar>
            <w:vAlign w:val="center"/>
          </w:tcPr>
          <w:p>
            <w:r>
              <w:rPr>
                <w:rFonts w:ascii="Arial" w:cs="Arial" w:eastAsia="Arial" w:hAnsi="Arial"/>
                <w:b/>
                <w:bCs/>
                <w:color w:val="FFFFFF"/>
                <w:sz w:val="20"/>
                <w:szCs w:val="20"/>
              </w:rPr>
              <w:t xml:space="preserve">Page / Route</w:t>
            </w:r>
          </w:p>
        </w:tc>
        <w:tc>
          <w:tcPr>
            <w:tcW w:type="dxa" w:w="1500"/>
            <w:tcBorders>
              <w:top w:val="single" w:color="AAAAAA" w:sz="4"/>
              <w:left w:val="single" w:color="AAAAAA" w:sz="4"/>
              <w:bottom w:val="single" w:color="AAAAAA" w:sz="4"/>
              <w:right w:val="single" w:color="AAAAAA" w:sz="4"/>
            </w:tcBorders>
            <w:shd w:fill="0B1221"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900"/>
            <w:tcBorders>
              <w:top w:val="single" w:color="AAAAAA" w:sz="4"/>
              <w:left w:val="single" w:color="AAAAAA" w:sz="4"/>
              <w:bottom w:val="single" w:color="AAAAAA" w:sz="4"/>
              <w:right w:val="single" w:color="AAAAAA" w:sz="4"/>
            </w:tcBorders>
            <w:shd w:fill="0B1221"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5200"/>
            <w:tcBorders>
              <w:top w:val="single" w:color="AAAAAA" w:sz="4"/>
              <w:left w:val="single" w:color="AAAAAA" w:sz="4"/>
              <w:bottom w:val="single" w:color="AAAAAA" w:sz="4"/>
              <w:right w:val="single" w:color="AAAAAA" w:sz="4"/>
            </w:tcBorders>
            <w:shd w:fill="0B1221"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4800"/>
            <w:tcBorders>
              <w:top w:val="single" w:color="AAAAAA" w:sz="4"/>
              <w:left w:val="single" w:color="AAAAAA" w:sz="4"/>
              <w:bottom w:val="single" w:color="AAAAAA" w:sz="4"/>
              <w:right w:val="single" w:color="AAAAAA" w:sz="4"/>
            </w:tcBorders>
            <w:shd w:fill="0B1221" w:val="clear"/>
            <w:tcMar>
              <w:top w:type="dxa" w:w="80"/>
              <w:left w:type="dxa" w:w="120"/>
              <w:bottom w:type="dxa" w:w="80"/>
              <w:right w:type="dxa" w:w="120"/>
            </w:tcMar>
            <w:vAlign w:val="center"/>
          </w:tcPr>
          <w:p>
            <w:r>
              <w:rPr>
                <w:rFonts w:ascii="Arial" w:cs="Arial" w:eastAsia="Arial" w:hAnsi="Arial"/>
                <w:b/>
                <w:bCs/>
                <w:color w:val="FFFFFF"/>
                <w:sz w:val="20"/>
                <w:szCs w:val="20"/>
              </w:rPr>
              <w:t xml:space="preserve">Suggested Fix</w:t>
            </w:r>
          </w:p>
        </w:tc>
      </w:tr>
      <w:tr>
        <w:tc>
          <w:tcPr>
            <w:gridSpan w:val="6"/>
            <w:tcBorders>
              <w:top w:val="single" w:color="C0392B" w:sz="4"/>
              <w:left w:val="single" w:color="C0392B" w:sz="4"/>
              <w:bottom w:val="single" w:color="C0392B" w:sz="4"/>
              <w:right w:val="single" w:color="C0392B" w:sz="4"/>
            </w:tcBorders>
            <w:shd w:fill="C0392B" w:val="clear"/>
            <w:tcMar>
              <w:top w:type="dxa" w:w="60"/>
              <w:left w:type="dxa" w:w="160"/>
              <w:bottom w:type="dxa" w:w="60"/>
              <w:right w:type="dxa" w:w="160"/>
            </w:tcMar>
          </w:tcPr>
          <w:p>
            <w:r>
              <w:rPr>
                <w:rFonts w:ascii="Arial" w:cs="Arial" w:eastAsia="Arial" w:hAnsi="Arial"/>
                <w:b/>
                <w:bCs/>
                <w:color w:val="FFFFFF"/>
                <w:sz w:val="22"/>
                <w:szCs w:val="22"/>
              </w:rPr>
              <w:t xml:space="preserve">PRIORITY 1 — DEMO GOLDEN PATH</w:t>
            </w:r>
          </w:p>
        </w:tc>
      </w:tr>
      <w:tr>
        <w:tc>
          <w:tcPr>
            <w:tcW w:type="dxa" w:w="4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/execute/approval</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User Journey Continuity</w:t>
            </w:r>
          </w:p>
        </w:tc>
        <w:tc>
          <w:tcPr>
            <w:tcW w:type="dxa" w:w="90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center"/>
          </w:tcPr>
          <w:p>
            <w:r>
              <w:rPr>
                <w:rFonts w:ascii="Arial" w:cs="Arial" w:eastAsia="Arial" w:hAnsi="Arial"/>
                <w:b/>
                <w:bCs/>
                <w:color w:val="C0392B"/>
                <w:sz w:val="18"/>
                <w:szCs w:val="18"/>
              </w:rPr>
              <w:t xml:space="preserve">Critical</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Route renders generic ComingSoon page ('This feature is currently in development') — not listed in TARGET_SCOPE_READY_ROUTES. The 5-minute demo golden path (Dashboard → Execute queue → Approve action → History) breaks at step 3.</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Add '/execute/approval' to TARGET_SCOPE_READY_ROUTES in src/contracts/rebuild-contracts.ts and remove the comingSoonLoader override in lazyRoutes.ts.</w:t>
            </w:r>
          </w:p>
        </w:tc>
      </w:tr>
      <w:tr>
        <w:tc>
          <w:tcPr>
            <w:tcW w:type="dxa" w:w="4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2</w:t>
            </w:r>
          </w:p>
        </w:tc>
        <w:tc>
          <w:tcPr>
            <w:tcW w:type="dxa" w:w="16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/govern/trust</w:t>
            </w:r>
          </w:p>
        </w:tc>
        <w:tc>
          <w:tcPr>
            <w:tcW w:type="dxa" w:w="15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Trust &amp; Credibility</w:t>
            </w:r>
          </w:p>
        </w:tc>
        <w:tc>
          <w:tcPr>
            <w:tcW w:type="dxa" w:w="90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center"/>
          </w:tcPr>
          <w:p>
            <w:r>
              <w:rPr>
                <w:rFonts w:ascii="Arial" w:cs="Arial" w:eastAsia="Arial" w:hAnsi="Arial"/>
                <w:b/>
                <w:bCs/>
                <w:color w:val="C0392B"/>
                <w:sz w:val="18"/>
                <w:szCs w:val="18"/>
              </w:rPr>
              <w:t xml:space="preserve">Critical</w:t>
            </w:r>
          </w:p>
        </w:tc>
        <w:tc>
          <w:tcPr>
            <w:tcW w:type="dxa" w:w="52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The Trust &amp; Safety anchor page renders ComingSoon. Any demo path referencing governance/compliance (a core product differentiator) hits a dead end.</w:t>
            </w:r>
          </w:p>
        </w:tc>
        <w:tc>
          <w:tcPr>
            <w:tcW w:type="dxa" w:w="48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Add '/govern/trust' to TARGET_SCOPE_READY_ROUTES. The source file TrustSecurity.tsx already exists and is complete — it just needs to be un-gated.</w:t>
            </w:r>
          </w:p>
        </w:tc>
      </w:tr>
      <w:tr>
        <w:tc>
          <w:tcPr>
            <w:tcW w:type="dxa" w:w="4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/execute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Data Realism / Narrative</w:t>
            </w:r>
          </w:p>
        </w:tc>
        <w:tc>
          <w:tcPr>
            <w:tcW w:type="dxa" w:w="90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center"/>
          </w:tcPr>
          <w:p>
            <w:r>
              <w:rPr>
                <w:rFonts w:ascii="Arial" w:cs="Arial" w:eastAsia="Arial" w:hAnsi="Arial"/>
                <w:b/>
                <w:bCs/>
                <w:color w:val="C0392B"/>
                <w:sz w:val="18"/>
                <w:szCs w:val="18"/>
              </w:rPr>
              <w:t xml:space="preserve">Critical</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Execute queue shows action IDs EXE-001 through EXE-005 (e.g., 'Portfolio rebalance $12,400', 'Block wire transfer $4,200'). The ExecuteApproval page (when accessible) shows a completely different list with IDs ACT-001 through ACT-005 (e.g., 'Consolidate streaming subscriptions', 'Negotiate internet bill'). Clicking 'Review' on any EXE item would route to unrelated content.</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Align action items and IDs between Execute.tsx and ExecuteApproval.tsx. Share a single QUEUE_ITEMS constant in a shared data module, or at minimum use the same IDs and action descriptions.</w:t>
            </w:r>
          </w:p>
        </w:tc>
      </w:tr>
      <w:tr>
        <w:tc>
          <w:tcPr>
            <w:tcW w:type="dxa" w:w="4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4</w:t>
            </w:r>
          </w:p>
        </w:tc>
        <w:tc>
          <w:tcPr>
            <w:tcW w:type="dxa" w:w="16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/dashboard</w:t>
            </w:r>
          </w:p>
        </w:tc>
        <w:tc>
          <w:tcPr>
            <w:tcW w:type="dxa" w:w="15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Data Realism / Narrative</w:t>
            </w:r>
          </w:p>
        </w:tc>
        <w:tc>
          <w:tcPr>
            <w:tcW w:type="dxa" w:w="90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center"/>
          </w:tcPr>
          <w:p>
            <w:r>
              <w:rPr>
                <w:rFonts w:ascii="Arial" w:cs="Arial" w:eastAsia="Arial" w:hAnsi="Arial"/>
                <w:b/>
                <w:bCs/>
                <w:color w:val="C0392B"/>
                <w:sz w:val="18"/>
                <w:szCs w:val="18"/>
              </w:rPr>
              <w:t xml:space="preserve">Critical</w:t>
            </w:r>
          </w:p>
        </w:tc>
        <w:tc>
          <w:tcPr>
            <w:tcW w:type="dxa" w:w="52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Hero subline reads 'One unresolved alert. Three actions queued.' Dashboard PENDING_ACTIONS constant = 5. Protect page sidebar shows 'Active threats: 5'. Execute page shows 4 pending items. Nav badge on /execute shows count 3. Four different numbers across five surfaces for the same concept.</w:t>
            </w:r>
          </w:p>
        </w:tc>
        <w:tc>
          <w:tcPr>
            <w:tcW w:type="dxa" w:w="48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Introduce a shared cross-thread constants module (e.g., src/lib/demo-state.ts) with ACTIVE_THREATS=1, PENDING_ACTIONS=3, ACTIONS_QUEUED=3. Import and use in Dashboard, Protect, Execute, and AppNavShell badges.</w:t>
            </w:r>
          </w:p>
        </w:tc>
      </w:tr>
      <w:tr>
        <w:tc>
          <w:tcPr>
            <w:gridSpan w:val="6"/>
            <w:tcBorders>
              <w:top w:val="single" w:color="1E3A5F" w:sz="4"/>
              <w:left w:val="single" w:color="1E3A5F" w:sz="4"/>
              <w:bottom w:val="single" w:color="1E3A5F" w:sz="4"/>
              <w:right w:val="single" w:color="1E3A5F" w:sz="4"/>
            </w:tcBorders>
            <w:shd w:fill="1E3A5F" w:val="clear"/>
            <w:tcMar>
              <w:top w:type="dxa" w:w="60"/>
              <w:left w:type="dxa" w:w="160"/>
              <w:bottom w:type="dxa" w:w="60"/>
              <w:right w:type="dxa" w:w="160"/>
            </w:tcMar>
          </w:tcPr>
          <w:p>
            <w:r>
              <w:rPr>
                <w:rFonts w:ascii="Arial" w:cs="Arial" w:eastAsia="Arial" w:hAnsi="Arial"/>
                <w:b/>
                <w:bCs/>
                <w:color w:val="FFFFFF"/>
                <w:sz w:val="22"/>
                <w:szCs w:val="22"/>
              </w:rPr>
              <w:t xml:space="preserve">PRIORITY 2 — LANDING, AUTH &amp; ONBOARDING</w:t>
            </w:r>
          </w:p>
        </w:tc>
      </w:tr>
      <w:tr>
        <w:tc>
          <w:tcPr>
            <w:tcW w:type="dxa" w:w="4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  (Hero)</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Interaction Quality</w:t>
            </w:r>
          </w:p>
        </w:tc>
        <w:tc>
          <w:tcPr>
            <w:tcW w:type="dxa" w:w="900"/>
            <w:tcBorders>
              <w:top w:val="single" w:color="CCCCCC" w:sz="4"/>
              <w:left w:val="single" w:color="CCCCCC" w:sz="4"/>
              <w:bottom w:val="single" w:color="CCCCCC" w:sz="4"/>
              <w:right w:val="single" w:color="CCCCCC" w:sz="4"/>
            </w:tcBorders>
            <w:shd w:fill="FEF0E6" w:val="clear"/>
            <w:tcMar>
              <w:top w:type="dxa" w:w="80"/>
              <w:left w:type="dxa" w:w="120"/>
              <w:bottom w:type="dxa" w:w="80"/>
              <w:right w:type="dxa" w:w="120"/>
            </w:tcMar>
            <w:vAlign w:val="center"/>
          </w:tcPr>
          <w:p>
            <w:r>
              <w:rPr>
                <w:rFonts w:ascii="Arial" w:cs="Arial" w:eastAsia="Arial" w:hAnsi="Arial"/>
                <w:b/>
                <w:bCs/>
                <w:color w:val="E67E22"/>
                <w:sz w:val="18"/>
                <w:szCs w:val="18"/>
              </w:rPr>
              <w:t xml:space="preserve">High</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'Watch Demo' button has no onClick handler or href. Clicking it produces no response. Audience will notice immediately.</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Link to a YouTube/Vimeo demo URL with target='_blank', or open a modal. Minimum viable fix: add href='/dashboard' and a tooltip 'Live demo inside the app'.</w:t>
            </w:r>
          </w:p>
        </w:tc>
      </w:tr>
      <w:tr>
        <w:tc>
          <w:tcPr>
            <w:tcW w:type="dxa" w:w="4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6</w:t>
            </w:r>
          </w:p>
        </w:tc>
        <w:tc>
          <w:tcPr>
            <w:tcW w:type="dxa" w:w="16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  (TopBar)</w:t>
            </w:r>
          </w:p>
        </w:tc>
        <w:tc>
          <w:tcPr>
            <w:tcW w:type="dxa" w:w="15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Navigation &amp; IA</w:t>
            </w:r>
          </w:p>
        </w:tc>
        <w:tc>
          <w:tcPr>
            <w:tcW w:type="dxa" w:w="900"/>
            <w:tcBorders>
              <w:top w:val="single" w:color="CCCCCC" w:sz="4"/>
              <w:left w:val="single" w:color="CCCCCC" w:sz="4"/>
              <w:bottom w:val="single" w:color="CCCCCC" w:sz="4"/>
              <w:right w:val="single" w:color="CCCCCC" w:sz="4"/>
            </w:tcBorders>
            <w:shd w:fill="FEF0E6" w:val="clear"/>
            <w:tcMar>
              <w:top w:type="dxa" w:w="80"/>
              <w:left w:type="dxa" w:w="120"/>
              <w:bottom w:type="dxa" w:w="80"/>
              <w:right w:type="dxa" w:w="120"/>
            </w:tcMar>
            <w:vAlign w:val="center"/>
          </w:tcPr>
          <w:p>
            <w:r>
              <w:rPr>
                <w:rFonts w:ascii="Arial" w:cs="Arial" w:eastAsia="Arial" w:hAnsi="Arial"/>
                <w:b/>
                <w:bCs/>
                <w:color w:val="E67E22"/>
                <w:sz w:val="18"/>
                <w:szCs w:val="18"/>
              </w:rPr>
              <w:t xml:space="preserve">High</w:t>
            </w:r>
          </w:p>
        </w:tc>
        <w:tc>
          <w:tcPr>
            <w:tcW w:type="dxa" w:w="52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'Product' nav link navigates to /dashboard, which requires authentication. Unauthenticated users are silently redirected or see a blank page. The intent is to show a product tour or marketing page.</w:t>
            </w:r>
          </w:p>
        </w:tc>
        <w:tc>
          <w:tcPr>
            <w:tcW w:type="dxa" w:w="48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Create a /product landing page or redirect 'Product' to /dashboard in presentation mode. Alternatively rename to 'Demo' and link to /dashboard directly with a clear CTA framing.</w:t>
            </w:r>
          </w:p>
        </w:tc>
      </w:tr>
      <w:tr>
        <w:tc>
          <w:tcPr>
            <w:tcW w:type="dxa" w:w="4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7</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  (TopBar)</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User Journey Continuity</w:t>
            </w:r>
          </w:p>
        </w:tc>
        <w:tc>
          <w:tcPr>
            <w:tcW w:type="dxa" w:w="900"/>
            <w:tcBorders>
              <w:top w:val="single" w:color="CCCCCC" w:sz="4"/>
              <w:left w:val="single" w:color="CCCCCC" w:sz="4"/>
              <w:bottom w:val="single" w:color="CCCCCC" w:sz="4"/>
              <w:right w:val="single" w:color="CCCCCC" w:sz="4"/>
            </w:tcBorders>
            <w:shd w:fill="FEF0E6" w:val="clear"/>
            <w:tcMar>
              <w:top w:type="dxa" w:w="80"/>
              <w:left w:type="dxa" w:w="120"/>
              <w:bottom w:type="dxa" w:w="80"/>
              <w:right w:type="dxa" w:w="120"/>
            </w:tcMar>
            <w:vAlign w:val="center"/>
          </w:tcPr>
          <w:p>
            <w:r>
              <w:rPr>
                <w:rFonts w:ascii="Arial" w:cs="Arial" w:eastAsia="Arial" w:hAnsi="Arial"/>
                <w:b/>
                <w:bCs/>
                <w:color w:val="E67E22"/>
                <w:sz w:val="18"/>
                <w:szCs w:val="18"/>
              </w:rPr>
              <w:t xml:space="preserve">High</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'Get Started' button in nav bar routes to /dashboard, bypassing the signup flow. Breaks intended conversion path: Landing → Signup → Onboard → Dashboard.</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Change Get Started href to '/signup' to preserve the intended funnel.</w:t>
            </w:r>
          </w:p>
        </w:tc>
      </w:tr>
      <w:tr>
        <w:tc>
          <w:tcPr>
            <w:tcW w:type="dxa" w:w="4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8</w:t>
            </w:r>
          </w:p>
        </w:tc>
        <w:tc>
          <w:tcPr>
            <w:tcW w:type="dxa" w:w="16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/signup</w:t>
            </w:r>
          </w:p>
        </w:tc>
        <w:tc>
          <w:tcPr>
            <w:tcW w:type="dxa" w:w="15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Interaction Quality</w:t>
            </w:r>
          </w:p>
        </w:tc>
        <w:tc>
          <w:tcPr>
            <w:tcW w:type="dxa" w:w="900"/>
            <w:tcBorders>
              <w:top w:val="single" w:color="CCCCCC" w:sz="4"/>
              <w:left w:val="single" w:color="CCCCCC" w:sz="4"/>
              <w:bottom w:val="single" w:color="CCCCCC" w:sz="4"/>
              <w:right w:val="single" w:color="CCCCCC" w:sz="4"/>
            </w:tcBorders>
            <w:shd w:fill="FEF9E6" w:val="clear"/>
            <w:tcMar>
              <w:top w:type="dxa" w:w="80"/>
              <w:left w:type="dxa" w:w="120"/>
              <w:bottom w:type="dxa" w:w="80"/>
              <w:right w:type="dxa" w:w="120"/>
            </w:tcMar>
            <w:vAlign w:val="center"/>
          </w:tcPr>
          <w:p>
            <w:r>
              <w:rPr>
                <w:rFonts w:ascii="Arial" w:cs="Arial" w:eastAsia="Arial" w:hAnsi="Arial"/>
                <w:b/>
                <w:bCs/>
                <w:color w:val="B7860B"/>
                <w:sz w:val="18"/>
                <w:szCs w:val="18"/>
              </w:rPr>
              <w:t xml:space="preserve">Medium</w:t>
            </w:r>
          </w:p>
        </w:tc>
        <w:tc>
          <w:tcPr>
            <w:tcW w:type="dxa" w:w="52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SSO buttons ('Continue with Google', 'Continue with Apple') are inert — no onClick handler, no routing. Submit button is a &lt;Link&gt; that navigates without validating form fields. Password show/hide works but form has no client-side validation (no min-length enforcement, no error states).</w:t>
            </w:r>
          </w:p>
        </w:tc>
        <w:tc>
          <w:tcPr>
            <w:tcW w:type="dxa" w:w="48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For demo mode: redirect SSO buttons to /onboarding/connect directly. Add a simple inline validation on the form so the Continue button is disabled when fields are empty.</w:t>
            </w:r>
          </w:p>
        </w:tc>
      </w:tr>
      <w:tr>
        <w:tc>
          <w:tcPr>
            <w:tcW w:type="dxa" w:w="4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9</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/onboarding/*</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Brand Consistency</w:t>
            </w:r>
          </w:p>
        </w:tc>
        <w:tc>
          <w:tcPr>
            <w:tcW w:type="dxa" w:w="900"/>
            <w:tcBorders>
              <w:top w:val="single" w:color="CCCCCC" w:sz="4"/>
              <w:left w:val="single" w:color="CCCCCC" w:sz="4"/>
              <w:bottom w:val="single" w:color="CCCCCC" w:sz="4"/>
              <w:right w:val="single" w:color="CCCCCC" w:sz="4"/>
            </w:tcBorders>
            <w:shd w:fill="FEF9E6" w:val="clear"/>
            <w:tcMar>
              <w:top w:type="dxa" w:w="80"/>
              <w:left w:type="dxa" w:w="120"/>
              <w:bottom w:type="dxa" w:w="80"/>
              <w:right w:type="dxa" w:w="120"/>
            </w:tcMar>
            <w:vAlign w:val="center"/>
          </w:tcPr>
          <w:p>
            <w:r>
              <w:rPr>
                <w:rFonts w:ascii="Arial" w:cs="Arial" w:eastAsia="Arial" w:hAnsi="Arial"/>
                <w:b/>
                <w:bCs/>
                <w:color w:val="B7860B"/>
                <w:sz w:val="18"/>
                <w:szCs w:val="18"/>
              </w:rPr>
              <w:t xml:space="preserve">Medium</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Onboarding flow (Welcome, Connect, Goals, Consent, Complete) renders without the PublicTopBar or any persistent brand navigation. Waves lucide icon used as logo substitute instead of /logo.png. Creates brand discontinuity mid-funnel.</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Add PublicTopBar or a minimal progress-bar header with the Poseidon logo to all onboarding steps. Replace &lt;Waves&gt; icon with &lt;img src='/logo.png'&gt;.</w:t>
            </w:r>
          </w:p>
        </w:tc>
      </w:tr>
      <w:tr>
        <w:tc>
          <w:tcPr>
            <w:tcW w:type="dxa" w:w="4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10</w:t>
            </w:r>
          </w:p>
        </w:tc>
        <w:tc>
          <w:tcPr>
            <w:tcW w:type="dxa" w:w="16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/onboarding/complete</w:t>
            </w:r>
          </w:p>
        </w:tc>
        <w:tc>
          <w:tcPr>
            <w:tcW w:type="dxa" w:w="15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Data Realism / Narrative</w:t>
            </w:r>
          </w:p>
        </w:tc>
        <w:tc>
          <w:tcPr>
            <w:tcW w:type="dxa" w:w="900"/>
            <w:tcBorders>
              <w:top w:val="single" w:color="CCCCCC" w:sz="4"/>
              <w:left w:val="single" w:color="CCCCCC" w:sz="4"/>
              <w:bottom w:val="single" w:color="CCCCCC" w:sz="4"/>
              <w:right w:val="single" w:color="CCCCCC" w:sz="4"/>
            </w:tcBorders>
            <w:shd w:fill="FEF9E6" w:val="clear"/>
            <w:tcMar>
              <w:top w:type="dxa" w:w="80"/>
              <w:left w:type="dxa" w:w="120"/>
              <w:bottom w:type="dxa" w:w="80"/>
              <w:right w:type="dxa" w:w="120"/>
            </w:tcMar>
            <w:vAlign w:val="center"/>
          </w:tcPr>
          <w:p>
            <w:r>
              <w:rPr>
                <w:rFonts w:ascii="Arial" w:cs="Arial" w:eastAsia="Arial" w:hAnsi="Arial"/>
                <w:b/>
                <w:bCs/>
                <w:color w:val="B7860B"/>
                <w:sz w:val="18"/>
                <w:szCs w:val="18"/>
              </w:rPr>
              <w:t xml:space="preserve">Medium</w:t>
            </w:r>
          </w:p>
        </w:tc>
        <w:tc>
          <w:tcPr>
            <w:tcW w:type="dxa" w:w="52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Completion screen hardcodes 'Accounts connected: 3' regardless of which toggles the user activated on the /onboarding/connect step. A user who toggled only 1 source still sees 3.</w:t>
            </w:r>
          </w:p>
        </w:tc>
        <w:tc>
          <w:tcPr>
            <w:tcW w:type="dxa" w:w="48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Pass selected account count via router state or a shared context (even a module-level variable for demo purposes) and render it dynamically.</w:t>
            </w:r>
          </w:p>
        </w:tc>
      </w:tr>
      <w:tr>
        <w:tc>
          <w:tcPr>
            <w:gridSpan w:val="6"/>
            <w:tcBorders>
              <w:top w:val="single" w:color="0B5563" w:sz="4"/>
              <w:left w:val="single" w:color="0B5563" w:sz="4"/>
              <w:bottom w:val="single" w:color="0B5563" w:sz="4"/>
              <w:right w:val="single" w:color="0B5563" w:sz="4"/>
            </w:tcBorders>
            <w:shd w:fill="0B5563" w:val="clear"/>
            <w:tcMar>
              <w:top w:type="dxa" w:w="60"/>
              <w:left w:type="dxa" w:w="160"/>
              <w:bottom w:type="dxa" w:w="60"/>
              <w:right w:type="dxa" w:w="160"/>
            </w:tcMar>
          </w:tcPr>
          <w:p>
            <w:r>
              <w:rPr>
                <w:rFonts w:ascii="Arial" w:cs="Arial" w:eastAsia="Arial" w:hAnsi="Arial"/>
                <w:b/>
                <w:bCs/>
                <w:color w:val="FFFFFF"/>
                <w:sz w:val="22"/>
                <w:szCs w:val="22"/>
              </w:rPr>
              <w:t xml:space="preserve">PRIORITY 3 — DASHBOARD ENGINE</w:t>
            </w:r>
          </w:p>
        </w:tc>
      </w:tr>
      <w:tr>
        <w:tc>
          <w:tcPr>
            <w:tcW w:type="dxa" w:w="4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11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/dashboard</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Data Realism / Narrative</w:t>
            </w:r>
          </w:p>
        </w:tc>
        <w:tc>
          <w:tcPr>
            <w:tcW w:type="dxa" w:w="900"/>
            <w:tcBorders>
              <w:top w:val="single" w:color="CCCCCC" w:sz="4"/>
              <w:left w:val="single" w:color="CCCCCC" w:sz="4"/>
              <w:bottom w:val="single" w:color="CCCCCC" w:sz="4"/>
              <w:right w:val="single" w:color="CCCCCC" w:sz="4"/>
            </w:tcBorders>
            <w:shd w:fill="FEF0E6" w:val="clear"/>
            <w:tcMar>
              <w:top w:type="dxa" w:w="80"/>
              <w:left w:type="dxa" w:w="120"/>
              <w:bottom w:type="dxa" w:w="80"/>
              <w:right w:type="dxa" w:w="120"/>
            </w:tcMar>
            <w:vAlign w:val="center"/>
          </w:tcPr>
          <w:p>
            <w:r>
              <w:rPr>
                <w:rFonts w:ascii="Arial" w:cs="Arial" w:eastAsia="Arial" w:hAnsi="Arial"/>
                <w:b/>
                <w:bCs/>
                <w:color w:val="E67E22"/>
                <w:sz w:val="18"/>
                <w:szCs w:val="18"/>
              </w:rPr>
              <w:t xml:space="preserve">High</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'Good morning.' is hardcoded. At any evening demo or morning demo after 12:00, this is factually wrong and reduces credibility with a technically-aware audience.</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const greeting = new Date().getHours() &lt; 12 ? 'Good morning' : new Date().getHours() &lt; 17 ? 'Good afternoon' : 'Good evening'. Replace hardcoded string.</w:t>
            </w:r>
          </w:p>
        </w:tc>
      </w:tr>
      <w:tr>
        <w:tc>
          <w:tcPr>
            <w:tcW w:type="dxa" w:w="4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12</w:t>
            </w:r>
          </w:p>
        </w:tc>
        <w:tc>
          <w:tcPr>
            <w:tcW w:type="dxa" w:w="16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/dashboard</w:t>
            </w:r>
          </w:p>
        </w:tc>
        <w:tc>
          <w:tcPr>
            <w:tcW w:type="dxa" w:w="15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Typography &amp; Content</w:t>
            </w:r>
          </w:p>
        </w:tc>
        <w:tc>
          <w:tcPr>
            <w:tcW w:type="dxa" w:w="900"/>
            <w:tcBorders>
              <w:top w:val="single" w:color="CCCCCC" w:sz="4"/>
              <w:left w:val="single" w:color="CCCCCC" w:sz="4"/>
              <w:bottom w:val="single" w:color="CCCCCC" w:sz="4"/>
              <w:right w:val="single" w:color="CCCCCC" w:sz="4"/>
            </w:tcBorders>
            <w:shd w:fill="FEF0E6" w:val="clear"/>
            <w:tcMar>
              <w:top w:type="dxa" w:w="80"/>
              <w:left w:type="dxa" w:w="120"/>
              <w:bottom w:type="dxa" w:w="80"/>
              <w:right w:type="dxa" w:w="120"/>
            </w:tcMar>
            <w:vAlign w:val="center"/>
          </w:tcPr>
          <w:p>
            <w:r>
              <w:rPr>
                <w:rFonts w:ascii="Arial" w:cs="Arial" w:eastAsia="Arial" w:hAnsi="Arial"/>
                <w:b/>
                <w:bCs/>
                <w:color w:val="E67E22"/>
                <w:sz w:val="18"/>
                <w:szCs w:val="18"/>
              </w:rPr>
              <w:t xml:space="preserve">High</w:t>
            </w:r>
          </w:p>
        </w:tc>
        <w:tc>
          <w:tcPr>
            <w:tcW w:type="dxa" w:w="52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System confidence displayed as raw decimal '0.92' in the hero headline ('System confidence: 0.92 across 4 engines'). MetricsStrip also shows '0.92'. A financial dashboard should show a percentage (92%) or a friendly label (High confidence).</w:t>
            </w:r>
          </w:p>
        </w:tc>
        <w:tc>
          <w:tcPr>
            <w:tcW w:type="dxa" w:w="48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Format as percentage: `${(SYSTEM_CONFIDENCE * 100).toFixed(0)}%` or as a label ('High'). Apply consistently across Dashboard, MetricsStrip, and Protect sidebar.</w:t>
            </w:r>
          </w:p>
        </w:tc>
      </w:tr>
      <w:tr>
        <w:tc>
          <w:tcPr>
            <w:tcW w:type="dxa" w:w="4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13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/dashboard/alerts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User Journey Continuity</w:t>
            </w:r>
          </w:p>
        </w:tc>
        <w:tc>
          <w:tcPr>
            <w:tcW w:type="dxa" w:w="900"/>
            <w:tcBorders>
              <w:top w:val="single" w:color="CCCCCC" w:sz="4"/>
              <w:left w:val="single" w:color="CCCCCC" w:sz="4"/>
              <w:bottom w:val="single" w:color="CCCCCC" w:sz="4"/>
              <w:right w:val="single" w:color="CCCCCC" w:sz="4"/>
            </w:tcBorders>
            <w:shd w:fill="FEF0E6" w:val="clear"/>
            <w:tcMar>
              <w:top w:type="dxa" w:w="80"/>
              <w:left w:type="dxa" w:w="120"/>
              <w:bottom w:type="dxa" w:w="80"/>
              <w:right w:type="dxa" w:w="120"/>
            </w:tcMar>
            <w:vAlign w:val="center"/>
          </w:tcPr>
          <w:p>
            <w:r>
              <w:rPr>
                <w:rFonts w:ascii="Arial" w:cs="Arial" w:eastAsia="Arial" w:hAnsi="Arial"/>
                <w:b/>
                <w:bCs/>
                <w:color w:val="E67E22"/>
                <w:sz w:val="18"/>
                <w:szCs w:val="18"/>
              </w:rPr>
              <w:t xml:space="preserve">High</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Nav item 'Alerts' and any in-app link to /dashboard/alerts renders ComingSoon. Protect engine 'Investigate' CTA relies on alert context. Dead link in the navigation shell.</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Add '/dashboard/alerts' to TARGET_SCOPE_READY_ROUTES, or remove the nav item if the route will not be demoed. Do not leave navigation pointing to a ComingSoon page.</w:t>
            </w:r>
          </w:p>
        </w:tc>
      </w:tr>
      <w:tr>
        <w:tc>
          <w:tcPr>
            <w:tcW w:type="dxa" w:w="4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14</w:t>
            </w:r>
          </w:p>
        </w:tc>
        <w:tc>
          <w:tcPr>
            <w:tcW w:type="dxa" w:w="16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/dashboard</w:t>
            </w:r>
          </w:p>
        </w:tc>
        <w:tc>
          <w:tcPr>
            <w:tcW w:type="dxa" w:w="15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Visual Polish</w:t>
            </w:r>
          </w:p>
        </w:tc>
        <w:tc>
          <w:tcPr>
            <w:tcW w:type="dxa" w:w="900"/>
            <w:tcBorders>
              <w:top w:val="single" w:color="CCCCCC" w:sz="4"/>
              <w:left w:val="single" w:color="CCCCCC" w:sz="4"/>
              <w:bottom w:val="single" w:color="CCCCCC" w:sz="4"/>
              <w:right w:val="single" w:color="CCCCCC" w:sz="4"/>
            </w:tcBorders>
            <w:shd w:fill="FEF9E6" w:val="clear"/>
            <w:tcMar>
              <w:top w:type="dxa" w:w="80"/>
              <w:left w:type="dxa" w:w="120"/>
              <w:bottom w:type="dxa" w:w="80"/>
              <w:right w:type="dxa" w:w="120"/>
            </w:tcMar>
            <w:vAlign w:val="center"/>
          </w:tcPr>
          <w:p>
            <w:r>
              <w:rPr>
                <w:rFonts w:ascii="Arial" w:cs="Arial" w:eastAsia="Arial" w:hAnsi="Arial"/>
                <w:b/>
                <w:bCs/>
                <w:color w:val="B7860B"/>
                <w:sz w:val="18"/>
                <w:szCs w:val="18"/>
              </w:rPr>
              <w:t xml:space="preserve">Medium</w:t>
            </w:r>
          </w:p>
        </w:tc>
        <w:tc>
          <w:tcPr>
            <w:tcW w:type="dxa" w:w="52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GovernFooter, AuroraPulse, and GlassCard are defined inline in Dashboard.tsx instead of imported from @/components/poseidon. This violates the project's own architecture contract (CLAUDE.md) and means any fix to these components must be replicated in 10+ files.</w:t>
            </w:r>
          </w:p>
        </w:tc>
        <w:tc>
          <w:tcPr>
            <w:tcW w:type="dxa" w:w="48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Replace all inline component definitions with: import { GovernFooter, AuroraPulse, GlassCard } from '@/components/poseidon'. Same applies to Protect, Grow, Execute, Govern pages.</w:t>
            </w:r>
          </w:p>
        </w:tc>
      </w:tr>
      <w:tr>
        <w:tc>
          <w:tcPr>
            <w:tcW w:type="dxa" w:w="4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15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/dashboard</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Navigation &amp; IA</w:t>
            </w:r>
          </w:p>
        </w:tc>
        <w:tc>
          <w:tcPr>
            <w:tcW w:type="dxa" w:w="900"/>
            <w:tcBorders>
              <w:top w:val="single" w:color="CCCCCC" w:sz="4"/>
              <w:left w:val="single" w:color="CCCCCC" w:sz="4"/>
              <w:bottom w:val="single" w:color="CCCCCC" w:sz="4"/>
              <w:right w:val="single" w:color="CCCCCC" w:sz="4"/>
            </w:tcBorders>
            <w:shd w:fill="FEF9E6" w:val="clear"/>
            <w:tcMar>
              <w:top w:type="dxa" w:w="80"/>
              <w:left w:type="dxa" w:w="120"/>
              <w:bottom w:type="dxa" w:w="80"/>
              <w:right w:type="dxa" w:w="120"/>
            </w:tcMar>
            <w:vAlign w:val="center"/>
          </w:tcPr>
          <w:p>
            <w:r>
              <w:rPr>
                <w:rFonts w:ascii="Arial" w:cs="Arial" w:eastAsia="Arial" w:hAnsi="Arial"/>
                <w:b/>
                <w:bCs/>
                <w:color w:val="B7860B"/>
                <w:sz w:val="18"/>
                <w:szCs w:val="18"/>
              </w:rPr>
              <w:t xml:space="preserve">Medium</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Execute nav badge is hardcoded to 3 in AppNavShell (NAV_BADGES['/execute'] = { value: 3 }), but the Execute page shows 4-5 pending items and the dashboard hero mentions 3. Inconsistency is minor but signals lack of data wiring.</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Derive badge count from the same shared PENDING_ACTIONS constant or QUEUE_ITEMS.filter(a =&gt; a.status === 'pending').length.</w:t>
            </w:r>
          </w:p>
        </w:tc>
      </w:tr>
      <w:tr>
        <w:tc>
          <w:tcPr>
            <w:gridSpan w:val="6"/>
            <w:tcBorders>
              <w:top w:val="single" w:color="155A2E" w:sz="4"/>
              <w:left w:val="single" w:color="155A2E" w:sz="4"/>
              <w:bottom w:val="single" w:color="155A2E" w:sz="4"/>
              <w:right w:val="single" w:color="155A2E" w:sz="4"/>
            </w:tcBorders>
            <w:shd w:fill="155A2E" w:val="clear"/>
            <w:tcMar>
              <w:top w:type="dxa" w:w="60"/>
              <w:left w:type="dxa" w:w="160"/>
              <w:bottom w:type="dxa" w:w="60"/>
              <w:right w:type="dxa" w:w="160"/>
            </w:tcMar>
          </w:tcPr>
          <w:p>
            <w:r>
              <w:rPr>
                <w:rFonts w:ascii="Arial" w:cs="Arial" w:eastAsia="Arial" w:hAnsi="Arial"/>
                <w:b/>
                <w:bCs/>
                <w:color w:val="FFFFFF"/>
                <w:sz w:val="22"/>
                <w:szCs w:val="22"/>
              </w:rPr>
              <w:t xml:space="preserve">PRIORITY 4 — PROTECT ENGINE</w:t>
            </w:r>
          </w:p>
        </w:tc>
      </w:tr>
      <w:tr>
        <w:tc>
          <w:tcPr>
            <w:tcW w:type="dxa" w:w="4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16</w:t>
            </w:r>
          </w:p>
        </w:tc>
        <w:tc>
          <w:tcPr>
            <w:tcW w:type="dxa" w:w="16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/protect</w:t>
            </w:r>
          </w:p>
        </w:tc>
        <w:tc>
          <w:tcPr>
            <w:tcW w:type="dxa" w:w="15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Navigation &amp; IA</w:t>
            </w:r>
          </w:p>
        </w:tc>
        <w:tc>
          <w:tcPr>
            <w:tcW w:type="dxa" w:w="900"/>
            <w:tcBorders>
              <w:top w:val="single" w:color="CCCCCC" w:sz="4"/>
              <w:left w:val="single" w:color="CCCCCC" w:sz="4"/>
              <w:bottom w:val="single" w:color="CCCCCC" w:sz="4"/>
              <w:right w:val="single" w:color="CCCCCC" w:sz="4"/>
            </w:tcBorders>
            <w:shd w:fill="FEF0E6" w:val="clear"/>
            <w:tcMar>
              <w:top w:type="dxa" w:w="80"/>
              <w:left w:type="dxa" w:w="120"/>
              <w:bottom w:type="dxa" w:w="80"/>
              <w:right w:type="dxa" w:w="120"/>
            </w:tcMar>
            <w:vAlign w:val="center"/>
          </w:tcPr>
          <w:p>
            <w:r>
              <w:rPr>
                <w:rFonts w:ascii="Arial" w:cs="Arial" w:eastAsia="Arial" w:hAnsi="Arial"/>
                <w:b/>
                <w:bCs/>
                <w:color w:val="E67E22"/>
                <w:sz w:val="18"/>
                <w:szCs w:val="18"/>
              </w:rPr>
              <w:t xml:space="preserve">High</w:t>
            </w:r>
          </w:p>
        </w:tc>
        <w:tc>
          <w:tcPr>
            <w:tcW w:type="dxa" w:w="52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All five 'Investigate' buttons navigate to the same static /protect/alert-detail route with no context passed (no query params, no router state). The detail page shows a hardcoded single alert regardless of which row was clicked.</w:t>
            </w:r>
          </w:p>
        </w:tc>
        <w:tc>
          <w:tcPr>
            <w:tcW w:type="dxa" w:w="48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Pass alert ID via router state or query param: navigate('/protect/alert-detail', { state: { alertId: alert.id } }). Read it in ProtectAlertDetail to select the correct alert from a shared list.</w:t>
            </w:r>
          </w:p>
        </w:tc>
      </w:tr>
      <w:tr>
        <w:tc>
          <w:tcPr>
            <w:tcW w:type="dxa" w:w="4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17</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/protect</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Data Realism / Narrative</w:t>
            </w:r>
          </w:p>
        </w:tc>
        <w:tc>
          <w:tcPr>
            <w:tcW w:type="dxa" w:w="900"/>
            <w:tcBorders>
              <w:top w:val="single" w:color="CCCCCC" w:sz="4"/>
              <w:left w:val="single" w:color="CCCCCC" w:sz="4"/>
              <w:bottom w:val="single" w:color="CCCCCC" w:sz="4"/>
              <w:right w:val="single" w:color="CCCCCC" w:sz="4"/>
            </w:tcBorders>
            <w:shd w:fill="FEF9E6" w:val="clear"/>
            <w:tcMar>
              <w:top w:type="dxa" w:w="80"/>
              <w:left w:type="dxa" w:w="120"/>
              <w:bottom w:type="dxa" w:w="80"/>
              <w:right w:type="dxa" w:w="120"/>
            </w:tcMar>
            <w:vAlign w:val="center"/>
          </w:tcPr>
          <w:p>
            <w:r>
              <w:rPr>
                <w:rFonts w:ascii="Arial" w:cs="Arial" w:eastAsia="Arial" w:hAnsi="Arial"/>
                <w:b/>
                <w:bCs/>
                <w:color w:val="B7860B"/>
                <w:sz w:val="18"/>
                <w:szCs w:val="18"/>
              </w:rPr>
              <w:t xml:space="preserve">Medium</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Merchant names include 'TechElectro Store', 'Unknown Vendor', 'Travel Agency XYZ', 'Subscription Service', 'Crypto Exchange'. These read as Lorem Ipsum placeholders rather than realistic financial data for an MIT audience.</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Replace with plausible names: 'Best Buy Online', 'Unverified Merchant', 'Expedia Group', 'Netflix Inc.', 'Coinbase'. Match amounts and categories to realistic transaction patterns.</w:t>
            </w:r>
          </w:p>
        </w:tc>
      </w:tr>
      <w:tr>
        <w:tc>
          <w:tcPr>
            <w:tcW w:type="dxa" w:w="4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18</w:t>
            </w:r>
          </w:p>
        </w:tc>
        <w:tc>
          <w:tcPr>
            <w:tcW w:type="dxa" w:w="16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/protect</w:t>
            </w:r>
          </w:p>
        </w:tc>
        <w:tc>
          <w:tcPr>
            <w:tcW w:type="dxa" w:w="15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Data Realism / Narrative</w:t>
            </w:r>
          </w:p>
        </w:tc>
        <w:tc>
          <w:tcPr>
            <w:tcW w:type="dxa" w:w="900"/>
            <w:tcBorders>
              <w:top w:val="single" w:color="CCCCCC" w:sz="4"/>
              <w:left w:val="single" w:color="CCCCCC" w:sz="4"/>
              <w:bottom w:val="single" w:color="CCCCCC" w:sz="4"/>
              <w:right w:val="single" w:color="CCCCCC" w:sz="4"/>
            </w:tcBorders>
            <w:shd w:fill="FEF9E6" w:val="clear"/>
            <w:tcMar>
              <w:top w:type="dxa" w:w="80"/>
              <w:left w:type="dxa" w:w="120"/>
              <w:bottom w:type="dxa" w:w="80"/>
              <w:right w:type="dxa" w:w="120"/>
            </w:tcMar>
            <w:vAlign w:val="center"/>
          </w:tcPr>
          <w:p>
            <w:r>
              <w:rPr>
                <w:rFonts w:ascii="Arial" w:cs="Arial" w:eastAsia="Arial" w:hAnsi="Arial"/>
                <w:b/>
                <w:bCs/>
                <w:color w:val="B7860B"/>
                <w:sz w:val="18"/>
                <w:szCs w:val="18"/>
              </w:rPr>
              <w:t xml:space="preserve">Medium</w:t>
            </w:r>
          </w:p>
        </w:tc>
        <w:tc>
          <w:tcPr>
            <w:tcW w:type="dxa" w:w="52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Sidebar shows 'Active threats: 5' while Dashboard hero states 'One unresolved alert'. These numbers represent the same concept and directly contradict each other. Already counted as finding #4 — both surfaces must be aligned.</w:t>
            </w:r>
          </w:p>
        </w:tc>
        <w:tc>
          <w:tcPr>
            <w:tcW w:type="dxa" w:w="48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See finding #4. Set ACTIVE_THREATS = 1 (or whichever number is chosen) and reference it from both Protect sidebar and Dashboard hero.</w:t>
            </w:r>
          </w:p>
        </w:tc>
      </w:tr>
      <w:tr>
        <w:tc>
          <w:tcPr>
            <w:tcW w:type="dxa" w:w="4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19</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/protect/dispute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User Journey Continuity</w:t>
            </w:r>
          </w:p>
        </w:tc>
        <w:tc>
          <w:tcPr>
            <w:tcW w:type="dxa" w:w="900"/>
            <w:tcBorders>
              <w:top w:val="single" w:color="CCCCCC" w:sz="4"/>
              <w:left w:val="single" w:color="CCCCCC" w:sz="4"/>
              <w:bottom w:val="single" w:color="CCCCCC" w:sz="4"/>
              <w:right w:val="single" w:color="CCCCCC" w:sz="4"/>
            </w:tcBorders>
            <w:shd w:fill="FEF9E6" w:val="clear"/>
            <w:tcMar>
              <w:top w:type="dxa" w:w="80"/>
              <w:left w:type="dxa" w:w="120"/>
              <w:bottom w:type="dxa" w:w="80"/>
              <w:right w:type="dxa" w:w="120"/>
            </w:tcMar>
            <w:vAlign w:val="center"/>
          </w:tcPr>
          <w:p>
            <w:r>
              <w:rPr>
                <w:rFonts w:ascii="Arial" w:cs="Arial" w:eastAsia="Arial" w:hAnsi="Arial"/>
                <w:b/>
                <w:bCs/>
                <w:color w:val="B7860B"/>
                <w:sz w:val="18"/>
                <w:szCs w:val="18"/>
              </w:rPr>
              <w:t xml:space="preserve">Medium</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The Dispute flow (/protect/dispute) renders ComingSoon, cutting off a natural next step after a user investigates and wants to dispute an alert.</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Either add '/protect/dispute' to TARGET_SCOPE_READY_ROUTES, or remove the link to it from the alert detail page. Do not leave a live navigation link pointing to ComingSoon.</w:t>
            </w:r>
          </w:p>
        </w:tc>
      </w:tr>
      <w:tr>
        <w:tc>
          <w:tcPr>
            <w:gridSpan w:val="6"/>
            <w:tcBorders>
              <w:top w:val="single" w:color="3B2075" w:sz="4"/>
              <w:left w:val="single" w:color="3B2075" w:sz="4"/>
              <w:bottom w:val="single" w:color="3B2075" w:sz="4"/>
              <w:right w:val="single" w:color="3B2075" w:sz="4"/>
            </w:tcBorders>
            <w:shd w:fill="3B2075" w:val="clear"/>
            <w:tcMar>
              <w:top w:type="dxa" w:w="60"/>
              <w:left w:type="dxa" w:w="160"/>
              <w:bottom w:type="dxa" w:w="60"/>
              <w:right w:type="dxa" w:w="160"/>
            </w:tcMar>
          </w:tcPr>
          <w:p>
            <w:r>
              <w:rPr>
                <w:rFonts w:ascii="Arial" w:cs="Arial" w:eastAsia="Arial" w:hAnsi="Arial"/>
                <w:b/>
                <w:bCs/>
                <w:color w:val="FFFFFF"/>
                <w:sz w:val="22"/>
                <w:szCs w:val="22"/>
              </w:rPr>
              <w:t xml:space="preserve">PRIORITY 5 — GROW ENGINE</w:t>
            </w:r>
          </w:p>
        </w:tc>
      </w:tr>
      <w:tr>
        <w:tc>
          <w:tcPr>
            <w:tcW w:type="dxa" w:w="4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20</w:t>
            </w:r>
          </w:p>
        </w:tc>
        <w:tc>
          <w:tcPr>
            <w:tcW w:type="dxa" w:w="16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/grow</w:t>
            </w:r>
          </w:p>
        </w:tc>
        <w:tc>
          <w:tcPr>
            <w:tcW w:type="dxa" w:w="15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Data Realism / Narrative</w:t>
            </w:r>
          </w:p>
        </w:tc>
        <w:tc>
          <w:tcPr>
            <w:tcW w:type="dxa" w:w="900"/>
            <w:tcBorders>
              <w:top w:val="single" w:color="CCCCCC" w:sz="4"/>
              <w:left w:val="single" w:color="CCCCCC" w:sz="4"/>
              <w:bottom w:val="single" w:color="CCCCCC" w:sz="4"/>
              <w:right w:val="single" w:color="CCCCCC" w:sz="4"/>
            </w:tcBorders>
            <w:shd w:fill="FEF9E6" w:val="clear"/>
            <w:tcMar>
              <w:top w:type="dxa" w:w="80"/>
              <w:left w:type="dxa" w:w="120"/>
              <w:bottom w:type="dxa" w:w="80"/>
              <w:right w:type="dxa" w:w="120"/>
            </w:tcMar>
            <w:vAlign w:val="center"/>
          </w:tcPr>
          <w:p>
            <w:r>
              <w:rPr>
                <w:rFonts w:ascii="Arial" w:cs="Arial" w:eastAsia="Arial" w:hAnsi="Arial"/>
                <w:b/>
                <w:bCs/>
                <w:color w:val="B7860B"/>
                <w:sz w:val="18"/>
                <w:szCs w:val="18"/>
              </w:rPr>
              <w:t xml:space="preserve">Medium</w:t>
            </w:r>
          </w:p>
        </w:tc>
        <w:tc>
          <w:tcPr>
            <w:tcW w:type="dxa" w:w="52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All scenario forecast data is perfectly linear: median = 7300 + i * factor, where factor is a fixed multiplier. Real Monte Carlo outputs would have variance and non-linear paths. The perfectly straight trend line looks obviously synthetic.</w:t>
            </w:r>
          </w:p>
        </w:tc>
        <w:tc>
          <w:tcPr>
            <w:tcW w:type="dxa" w:w="48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Add minor random noise: median: 7300 + i * factor + (Math.sin(i * 1.7) * 80). Or pre-bake realistic-looking curved paths. The ForecastBand component supports non-linear data.</w:t>
            </w:r>
          </w:p>
        </w:tc>
      </w:tr>
      <w:tr>
        <w:tc>
          <w:tcPr>
            <w:tcW w:type="dxa" w:w="4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21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/grow</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Data Realism / Narrative</w:t>
            </w:r>
          </w:p>
        </w:tc>
        <w:tc>
          <w:tcPr>
            <w:tcW w:type="dxa" w:w="9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center"/>
          </w:tcPr>
          <w:p>
            <w:r>
              <w:rPr>
                <w:rFonts w:ascii="Arial" w:cs="Arial" w:eastAsia="Arial" w:hAnsi="Arial"/>
                <w:b/>
                <w:bCs/>
                <w:color w:val="27AE60"/>
                <w:sz w:val="18"/>
                <w:szCs w:val="18"/>
              </w:rPr>
              <w:t xml:space="preserve">Low</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MONTHLY_SAVINGS = 847 is defined but never rendered in Execute.tsx. Orphaned constant suggests a planned cross-engine sync (Grow → Execute) that was not implemented.</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Remove the unused constant or wire it: render 'Monthly savings target: $847' in the Execute page header to demonstrate cross-engine data flow.</w:t>
            </w:r>
          </w:p>
        </w:tc>
      </w:tr>
      <w:tr>
        <w:tc>
          <w:tcPr>
            <w:tcW w:type="dxa" w:w="4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22</w:t>
            </w:r>
          </w:p>
        </w:tc>
        <w:tc>
          <w:tcPr>
            <w:tcW w:type="dxa" w:w="16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/grow/recommendations</w:t>
            </w:r>
          </w:p>
        </w:tc>
        <w:tc>
          <w:tcPr>
            <w:tcW w:type="dxa" w:w="15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User Journey Continuity</w:t>
            </w:r>
          </w:p>
        </w:tc>
        <w:tc>
          <w:tcPr>
            <w:tcW w:type="dxa" w:w="900"/>
            <w:tcBorders>
              <w:top w:val="single" w:color="CCCCCC" w:sz="4"/>
              <w:left w:val="single" w:color="CCCCCC" w:sz="4"/>
              <w:bottom w:val="single" w:color="CCCCCC" w:sz="4"/>
              <w:right w:val="single" w:color="CCCCCC" w:sz="4"/>
            </w:tcBorders>
            <w:shd w:fill="FEF9E6" w:val="clear"/>
            <w:tcMar>
              <w:top w:type="dxa" w:w="80"/>
              <w:left w:type="dxa" w:w="120"/>
              <w:bottom w:type="dxa" w:w="80"/>
              <w:right w:type="dxa" w:w="120"/>
            </w:tcMar>
            <w:vAlign w:val="center"/>
          </w:tcPr>
          <w:p>
            <w:r>
              <w:rPr>
                <w:rFonts w:ascii="Arial" w:cs="Arial" w:eastAsia="Arial" w:hAnsi="Arial"/>
                <w:b/>
                <w:bCs/>
                <w:color w:val="B7860B"/>
                <w:sz w:val="18"/>
                <w:szCs w:val="18"/>
              </w:rPr>
              <w:t xml:space="preserve">Medium</w:t>
            </w:r>
          </w:p>
        </w:tc>
        <w:tc>
          <w:tcPr>
            <w:tcW w:type="dxa" w:w="52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The /grow/recommendations route renders ComingSoon. The Grow engine's contextual recommendation flow is a key differentiator mentioned in the presentation slides.</w:t>
            </w:r>
          </w:p>
        </w:tc>
        <w:tc>
          <w:tcPr>
            <w:tcW w:type="dxa" w:w="48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Add to TARGET_SCOPE_READY_ROUTES or remove navigation links to this route.</w:t>
            </w:r>
          </w:p>
        </w:tc>
      </w:tr>
      <w:tr>
        <w:tc>
          <w:tcPr>
            <w:gridSpan w:val="6"/>
            <w:tcBorders>
              <w:top w:val="single" w:color="7A5500" w:sz="4"/>
              <w:left w:val="single" w:color="7A5500" w:sz="4"/>
              <w:bottom w:val="single" w:color="7A5500" w:sz="4"/>
              <w:right w:val="single" w:color="7A5500" w:sz="4"/>
            </w:tcBorders>
            <w:shd w:fill="7A5500" w:val="clear"/>
            <w:tcMar>
              <w:top w:type="dxa" w:w="60"/>
              <w:left w:type="dxa" w:w="160"/>
              <w:bottom w:type="dxa" w:w="60"/>
              <w:right w:type="dxa" w:w="160"/>
            </w:tcMar>
          </w:tcPr>
          <w:p>
            <w:r>
              <w:rPr>
                <w:rFonts w:ascii="Arial" w:cs="Arial" w:eastAsia="Arial" w:hAnsi="Arial"/>
                <w:b/>
                <w:bCs/>
                <w:color w:val="FFFFFF"/>
                <w:sz w:val="22"/>
                <w:szCs w:val="22"/>
              </w:rPr>
              <w:t xml:space="preserve">PRIORITY 6 — EXECUTE ENGINE</w:t>
            </w:r>
          </w:p>
        </w:tc>
      </w:tr>
      <w:tr>
        <w:tc>
          <w:tcPr>
            <w:tcW w:type="dxa" w:w="4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23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/execute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Interaction Quality</w:t>
            </w:r>
          </w:p>
        </w:tc>
        <w:tc>
          <w:tcPr>
            <w:tcW w:type="dxa" w:w="900"/>
            <w:tcBorders>
              <w:top w:val="single" w:color="CCCCCC" w:sz="4"/>
              <w:left w:val="single" w:color="CCCCCC" w:sz="4"/>
              <w:bottom w:val="single" w:color="CCCCCC" w:sz="4"/>
              <w:right w:val="single" w:color="CCCCCC" w:sz="4"/>
            </w:tcBorders>
            <w:shd w:fill="FEF0E6" w:val="clear"/>
            <w:tcMar>
              <w:top w:type="dxa" w:w="80"/>
              <w:left w:type="dxa" w:w="120"/>
              <w:bottom w:type="dxa" w:w="80"/>
              <w:right w:type="dxa" w:w="120"/>
            </w:tcMar>
            <w:vAlign w:val="center"/>
          </w:tcPr>
          <w:p>
            <w:r>
              <w:rPr>
                <w:rFonts w:ascii="Arial" w:cs="Arial" w:eastAsia="Arial" w:hAnsi="Arial"/>
                <w:b/>
                <w:bCs/>
                <w:color w:val="E67E22"/>
                <w:sz w:val="18"/>
                <w:szCs w:val="18"/>
              </w:rPr>
              <w:t xml:space="preserve">High</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Action queue rows have no 'Reject' or 'Dismiss' action — only 'Approve'. The product's core value proposition is 'consent-first with reversible actions', but there is no way to decline an action without abandoning the page. Approve is also an inline button with no confirmation dialog.</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Add a Reject button beside Approve. Add a confirmation modal for high-value actions (e.g., 'Portfolio rebalance $12,400 — confirm?'). This directly reinforces the Govern/consent narrative.</w:t>
            </w:r>
          </w:p>
        </w:tc>
      </w:tr>
      <w:tr>
        <w:tc>
          <w:tcPr>
            <w:tcW w:type="dxa" w:w="4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24</w:t>
            </w:r>
          </w:p>
        </w:tc>
        <w:tc>
          <w:tcPr>
            <w:tcW w:type="dxa" w:w="16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/execute/history</w:t>
            </w:r>
          </w:p>
        </w:tc>
        <w:tc>
          <w:tcPr>
            <w:tcW w:type="dxa" w:w="15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Data Realism / Narrative</w:t>
            </w:r>
          </w:p>
        </w:tc>
        <w:tc>
          <w:tcPr>
            <w:tcW w:type="dxa" w:w="900"/>
            <w:tcBorders>
              <w:top w:val="single" w:color="CCCCCC" w:sz="4"/>
              <w:left w:val="single" w:color="CCCCCC" w:sz="4"/>
              <w:bottom w:val="single" w:color="CCCCCC" w:sz="4"/>
              <w:right w:val="single" w:color="CCCCCC" w:sz="4"/>
            </w:tcBorders>
            <w:shd w:fill="FEF9E6" w:val="clear"/>
            <w:tcMar>
              <w:top w:type="dxa" w:w="80"/>
              <w:left w:type="dxa" w:w="120"/>
              <w:bottom w:type="dxa" w:w="80"/>
              <w:right w:type="dxa" w:w="120"/>
            </w:tcMar>
            <w:vAlign w:val="center"/>
          </w:tcPr>
          <w:p>
            <w:r>
              <w:rPr>
                <w:rFonts w:ascii="Arial" w:cs="Arial" w:eastAsia="Arial" w:hAnsi="Arial"/>
                <w:b/>
                <w:bCs/>
                <w:color w:val="B7860B"/>
                <w:sz w:val="18"/>
                <w:szCs w:val="18"/>
              </w:rPr>
              <w:t xml:space="preserve">Medium</w:t>
            </w:r>
          </w:p>
        </w:tc>
        <w:tc>
          <w:tcPr>
            <w:tcW w:type="dxa" w:w="52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Execution history items should reference the same action IDs and descriptions as the Execute queue, demonstrating a closed-loop workflow. If history items are also hardcoded separately, they may diverge from queue items.</w:t>
            </w:r>
          </w:p>
        </w:tc>
        <w:tc>
          <w:tcPr>
            <w:tcW w:type="dxa" w:w="48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Derive history items from a shared COMPLETED_ACTIONS constant. Ensure at least 2-3 items in history match actions that appear as 'approved' in the queue.</w:t>
            </w:r>
          </w:p>
        </w:tc>
      </w:tr>
      <w:tr>
        <w:tc>
          <w:tcPr>
            <w:gridSpan w:val="6"/>
            <w:tcBorders>
              <w:top w:val="single" w:color="1A3A6B" w:sz="4"/>
              <w:left w:val="single" w:color="1A3A6B" w:sz="4"/>
              <w:bottom w:val="single" w:color="1A3A6B" w:sz="4"/>
              <w:right w:val="single" w:color="1A3A6B" w:sz="4"/>
            </w:tcBorders>
            <w:shd w:fill="1A3A6B" w:val="clear"/>
            <w:tcMar>
              <w:top w:type="dxa" w:w="60"/>
              <w:left w:type="dxa" w:w="160"/>
              <w:bottom w:type="dxa" w:w="60"/>
              <w:right w:type="dxa" w:w="160"/>
            </w:tcMar>
          </w:tcPr>
          <w:p>
            <w:r>
              <w:rPr>
                <w:rFonts w:ascii="Arial" w:cs="Arial" w:eastAsia="Arial" w:hAnsi="Arial"/>
                <w:b/>
                <w:bCs/>
                <w:color w:val="FFFFFF"/>
                <w:sz w:val="22"/>
                <w:szCs w:val="22"/>
              </w:rPr>
              <w:t xml:space="preserve">PRIORITY 7 — GOVERN ENGINE</w:t>
            </w:r>
          </w:p>
        </w:tc>
      </w:tr>
      <w:tr>
        <w:tc>
          <w:tcPr>
            <w:tcW w:type="dxa" w:w="4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25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/govern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Data Realism / Narrative</w:t>
            </w:r>
          </w:p>
        </w:tc>
        <w:tc>
          <w:tcPr>
            <w:tcW w:type="dxa" w:w="900"/>
            <w:tcBorders>
              <w:top w:val="single" w:color="CCCCCC" w:sz="4"/>
              <w:left w:val="single" w:color="CCCCCC" w:sz="4"/>
              <w:bottom w:val="single" w:color="CCCCCC" w:sz="4"/>
              <w:right w:val="single" w:color="CCCCCC" w:sz="4"/>
            </w:tcBorders>
            <w:shd w:fill="FEF9E6" w:val="clear"/>
            <w:tcMar>
              <w:top w:type="dxa" w:w="80"/>
              <w:left w:type="dxa" w:w="120"/>
              <w:bottom w:type="dxa" w:w="80"/>
              <w:right w:type="dxa" w:w="120"/>
            </w:tcMar>
            <w:vAlign w:val="center"/>
          </w:tcPr>
          <w:p>
            <w:r>
              <w:rPr>
                <w:rFonts w:ascii="Arial" w:cs="Arial" w:eastAsia="Arial" w:hAnsi="Arial"/>
                <w:b/>
                <w:bCs/>
                <w:color w:val="B7860B"/>
                <w:sz w:val="18"/>
                <w:szCs w:val="18"/>
              </w:rPr>
              <w:t xml:space="preserve">Medium</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Govern main page uses short audit IDs: GV-847, GV-848, etc. GovernAuditLedger uses long IDs: GV-2026-0216-847. The same events appear with inconsistent ID formats, breaking the immutable-ledger narrative.</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Standardize to the full ISO-date format: GV-YYYY-MM-DD-NNN across all Govern pages. Import a shared AUDIT_EVENTS array from a single file.</w:t>
            </w:r>
          </w:p>
        </w:tc>
      </w:tr>
      <w:tr>
        <w:tc>
          <w:tcPr>
            <w:tcW w:type="dxa" w:w="4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26</w:t>
            </w:r>
          </w:p>
        </w:tc>
        <w:tc>
          <w:tcPr>
            <w:tcW w:type="dxa" w:w="16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/govern</w:t>
            </w:r>
          </w:p>
        </w:tc>
        <w:tc>
          <w:tcPr>
            <w:tcW w:type="dxa" w:w="15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Data Realism / Narrative</w:t>
            </w:r>
          </w:p>
        </w:tc>
        <w:tc>
          <w:tcPr>
            <w:tcW w:type="dxa" w:w="900"/>
            <w:tcBorders>
              <w:top w:val="single" w:color="CCCCCC" w:sz="4"/>
              <w:left w:val="single" w:color="CCCCCC" w:sz="4"/>
              <w:bottom w:val="single" w:color="CCCCCC" w:sz="4"/>
              <w:right w:val="single" w:color="CCCCCC" w:sz="4"/>
            </w:tcBorders>
            <w:shd w:fill="FEF0E6" w:val="clear"/>
            <w:tcMar>
              <w:top w:type="dxa" w:w="80"/>
              <w:left w:type="dxa" w:w="120"/>
              <w:bottom w:type="dxa" w:w="80"/>
              <w:right w:type="dxa" w:w="120"/>
            </w:tcMar>
            <w:vAlign w:val="center"/>
          </w:tcPr>
          <w:p>
            <w:r>
              <w:rPr>
                <w:rFonts w:ascii="Arial" w:cs="Arial" w:eastAsia="Arial" w:hAnsi="Arial"/>
                <w:b/>
                <w:bCs/>
                <w:color w:val="E67E22"/>
                <w:sz w:val="18"/>
                <w:szCs w:val="18"/>
              </w:rPr>
              <w:t xml:space="preserve">High</w:t>
            </w:r>
          </w:p>
        </w:tc>
        <w:tc>
          <w:tcPr>
            <w:tcW w:type="dxa" w:w="52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Audit entry GV-842 shows 'Policy update confidence: 1.0' (100%). No AI model produces exactly 1.0 confidence. This single data point visibly undermines the product's credibility with an ML-aware audience.</w:t>
            </w:r>
          </w:p>
        </w:tc>
        <w:tc>
          <w:tcPr>
            <w:tcW w:type="dxa" w:w="48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Set max displayed confidence to 0.98. Use values like 0.94, 0.96, 0.97 for completed policy entries. Reserve 1.0 for illustrative purposes only and remove it from visible ledger entries.</w:t>
            </w:r>
          </w:p>
        </w:tc>
      </w:tr>
      <w:tr>
        <w:tc>
          <w:tcPr>
            <w:tcW w:type="dxa" w:w="4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27</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/govern/audit</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Navigation &amp; IA</w:t>
            </w:r>
          </w:p>
        </w:tc>
        <w:tc>
          <w:tcPr>
            <w:tcW w:type="dxa" w:w="900"/>
            <w:tcBorders>
              <w:top w:val="single" w:color="CCCCCC" w:sz="4"/>
              <w:left w:val="single" w:color="CCCCCC" w:sz="4"/>
              <w:bottom w:val="single" w:color="CCCCCC" w:sz="4"/>
              <w:right w:val="single" w:color="CCCCCC" w:sz="4"/>
            </w:tcBorders>
            <w:shd w:fill="FEF9E6" w:val="clear"/>
            <w:tcMar>
              <w:top w:type="dxa" w:w="80"/>
              <w:left w:type="dxa" w:w="120"/>
              <w:bottom w:type="dxa" w:w="80"/>
              <w:right w:type="dxa" w:w="120"/>
            </w:tcMar>
            <w:vAlign w:val="center"/>
          </w:tcPr>
          <w:p>
            <w:r>
              <w:rPr>
                <w:rFonts w:ascii="Arial" w:cs="Arial" w:eastAsia="Arial" w:hAnsi="Arial"/>
                <w:b/>
                <w:bCs/>
                <w:color w:val="B7860B"/>
                <w:sz w:val="18"/>
                <w:szCs w:val="18"/>
              </w:rPr>
              <w:t xml:space="preserve">Medium</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GovernAuditLedger's GovernFooter renders a 'Request human review' link that navigates to /govern instead of /govern/audit. Every other Govern page uses /govern/audit as the canonical audit link.</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Update the inline GovernFooter in GovernAuditLedger.tsx: link should be to='/govern/audit'. Or better: use the shared &lt;GovernFooter&gt; import and pass the correct pageContext.</w:t>
            </w:r>
          </w:p>
        </w:tc>
      </w:tr>
      <w:tr>
        <w:tc>
          <w:tcPr>
            <w:tcW w:type="dxa" w:w="4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28</w:t>
            </w:r>
          </w:p>
        </w:tc>
        <w:tc>
          <w:tcPr>
            <w:tcW w:type="dxa" w:w="16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/govern/audit-detail</w:t>
            </w:r>
          </w:p>
        </w:tc>
        <w:tc>
          <w:tcPr>
            <w:tcW w:type="dxa" w:w="15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User Journey Continuity</w:t>
            </w:r>
          </w:p>
        </w:tc>
        <w:tc>
          <w:tcPr>
            <w:tcW w:type="dxa" w:w="900"/>
            <w:tcBorders>
              <w:top w:val="single" w:color="CCCCCC" w:sz="4"/>
              <w:left w:val="single" w:color="CCCCCC" w:sz="4"/>
              <w:bottom w:val="single" w:color="CCCCCC" w:sz="4"/>
              <w:right w:val="single" w:color="CCCCCC" w:sz="4"/>
            </w:tcBorders>
            <w:shd w:fill="FEF9E6" w:val="clear"/>
            <w:tcMar>
              <w:top w:type="dxa" w:w="80"/>
              <w:left w:type="dxa" w:w="120"/>
              <w:bottom w:type="dxa" w:w="80"/>
              <w:right w:type="dxa" w:w="120"/>
            </w:tcMar>
            <w:vAlign w:val="center"/>
          </w:tcPr>
          <w:p>
            <w:r>
              <w:rPr>
                <w:rFonts w:ascii="Arial" w:cs="Arial" w:eastAsia="Arial" w:hAnsi="Arial"/>
                <w:b/>
                <w:bCs/>
                <w:color w:val="B7860B"/>
                <w:sz w:val="18"/>
                <w:szCs w:val="18"/>
              </w:rPr>
              <w:t xml:space="preserve">Medium</w:t>
            </w:r>
          </w:p>
        </w:tc>
        <w:tc>
          <w:tcPr>
            <w:tcW w:type="dxa" w:w="52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Clicking individual audit entries in GovernAuditLedger presumably routes to /govern/audit-detail, which renders ComingSoon.</w:t>
            </w:r>
          </w:p>
        </w:tc>
        <w:tc>
          <w:tcPr>
            <w:tcW w:type="dxa" w:w="48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Add '/govern/audit-detail' to TARGET_SCOPE_READY_ROUTES or make audit IDs non-clickable in the ledger view.</w:t>
            </w:r>
          </w:p>
        </w:tc>
      </w:tr>
      <w:tr>
        <w:tc>
          <w:tcPr>
            <w:gridSpan w:val="6"/>
            <w:tcBorders>
              <w:top w:val="single" w:color="4A4A4A" w:sz="4"/>
              <w:left w:val="single" w:color="4A4A4A" w:sz="4"/>
              <w:bottom w:val="single" w:color="4A4A4A" w:sz="4"/>
              <w:right w:val="single" w:color="4A4A4A" w:sz="4"/>
            </w:tcBorders>
            <w:shd w:fill="4A4A4A" w:val="clear"/>
            <w:tcMar>
              <w:top w:type="dxa" w:w="60"/>
              <w:left w:type="dxa" w:w="160"/>
              <w:bottom w:type="dxa" w:w="60"/>
              <w:right w:type="dxa" w:w="160"/>
            </w:tcMar>
          </w:tcPr>
          <w:p>
            <w:r>
              <w:rPr>
                <w:rFonts w:ascii="Arial" w:cs="Arial" w:eastAsia="Arial" w:hAnsi="Arial"/>
                <w:b/>
                <w:bCs/>
                <w:color w:val="FFFFFF"/>
                <w:sz w:val="22"/>
                <w:szCs w:val="22"/>
              </w:rPr>
              <w:t xml:space="preserve">PRIORITY 8 — SETTINGS, HELP &amp; SYSTEM PAGES</w:t>
            </w:r>
          </w:p>
        </w:tc>
      </w:tr>
      <w:tr>
        <w:tc>
          <w:tcPr>
            <w:tcW w:type="dxa" w:w="4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29</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/settings/ai</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User Journey Continuity</w:t>
            </w:r>
          </w:p>
        </w:tc>
        <w:tc>
          <w:tcPr>
            <w:tcW w:type="dxa" w:w="900"/>
            <w:tcBorders>
              <w:top w:val="single" w:color="CCCCCC" w:sz="4"/>
              <w:left w:val="single" w:color="CCCCCC" w:sz="4"/>
              <w:bottom w:val="single" w:color="CCCCCC" w:sz="4"/>
              <w:right w:val="single" w:color="CCCCCC" w:sz="4"/>
            </w:tcBorders>
            <w:shd w:fill="FEF0E6" w:val="clear"/>
            <w:tcMar>
              <w:top w:type="dxa" w:w="80"/>
              <w:left w:type="dxa" w:w="120"/>
              <w:bottom w:type="dxa" w:w="80"/>
              <w:right w:type="dxa" w:w="120"/>
            </w:tcMar>
            <w:vAlign w:val="center"/>
          </w:tcPr>
          <w:p>
            <w:r>
              <w:rPr>
                <w:rFonts w:ascii="Arial" w:cs="Arial" w:eastAsia="Arial" w:hAnsi="Arial"/>
                <w:b/>
                <w:bCs/>
                <w:color w:val="E67E22"/>
                <w:sz w:val="18"/>
                <w:szCs w:val="18"/>
              </w:rPr>
              <w:t xml:space="preserve">High</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/settings/ai, /settings/integrations, and /settings/rights all render ComingSoon. These are visible in the Settings sidebar and directly accessible. An MIT audience clicking Settings AI will find a dead end.</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Either implement minimal placeholder content for each settings sub-page or remove the sidebar links. If removing, show a single Settings page without sub-navigation.</w:t>
            </w:r>
          </w:p>
        </w:tc>
      </w:tr>
      <w:tr>
        <w:tc>
          <w:tcPr>
            <w:tcW w:type="dxa" w:w="4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30</w:t>
            </w:r>
          </w:p>
        </w:tc>
        <w:tc>
          <w:tcPr>
            <w:tcW w:type="dxa" w:w="16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/settings/ai</w:t>
            </w:r>
          </w:p>
        </w:tc>
        <w:tc>
          <w:tcPr>
            <w:tcW w:type="dxa" w:w="15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Visual Polish</w:t>
            </w:r>
          </w:p>
        </w:tc>
        <w:tc>
          <w:tcPr>
            <w:tcW w:type="dxa" w:w="900"/>
            <w:tcBorders>
              <w:top w:val="single" w:color="CCCCCC" w:sz="4"/>
              <w:left w:val="single" w:color="CCCCCC" w:sz="4"/>
              <w:bottom w:val="single" w:color="CCCCCC" w:sz="4"/>
              <w:right w:val="single" w:color="CCCCCC" w:sz="4"/>
            </w:tcBorders>
            <w:shd w:fill="FEF9E6" w:val="clear"/>
            <w:tcMar>
              <w:top w:type="dxa" w:w="80"/>
              <w:left w:type="dxa" w:w="120"/>
              <w:bottom w:type="dxa" w:w="80"/>
              <w:right w:type="dxa" w:w="120"/>
            </w:tcMar>
            <w:vAlign w:val="center"/>
          </w:tcPr>
          <w:p>
            <w:r>
              <w:rPr>
                <w:rFonts w:ascii="Arial" w:cs="Arial" w:eastAsia="Arial" w:hAnsi="Arial"/>
                <w:b/>
                <w:bCs/>
                <w:color w:val="B7860B"/>
                <w:sz w:val="18"/>
                <w:szCs w:val="18"/>
              </w:rPr>
              <w:t xml:space="preserve">Medium</w:t>
            </w:r>
          </w:p>
        </w:tc>
        <w:tc>
          <w:tcPr>
            <w:tcW w:type="dxa" w:w="52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SettingsAI.tsx defines its own sticky breadcrumb &lt;nav&gt; element, which stacks on top of the AppNavShell sticky header when accessed via the app shell. Results in a double-header UI with two sets of breadcrumbs.</w:t>
            </w:r>
          </w:p>
        </w:tc>
        <w:tc>
          <w:tcPr>
            <w:tcW w:type="dxa" w:w="48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Remove the inline sticky breadcrumb nav from SettingsAI.tsx. Let AppNavShell handle breadcrumb rendering via BREADCRUMB_MAP.</w:t>
            </w:r>
          </w:p>
        </w:tc>
      </w:tr>
      <w:tr>
        <w:tc>
          <w:tcPr>
            <w:tcW w:type="dxa" w:w="4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31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/help</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Navigation &amp; IA</w:t>
            </w:r>
          </w:p>
        </w:tc>
        <w:tc>
          <w:tcPr>
            <w:tcW w:type="dxa" w:w="900"/>
            <w:tcBorders>
              <w:top w:val="single" w:color="CCCCCC" w:sz="4"/>
              <w:left w:val="single" w:color="CCCCCC" w:sz="4"/>
              <w:bottom w:val="single" w:color="CCCCCC" w:sz="4"/>
              <w:right w:val="single" w:color="CCCCCC" w:sz="4"/>
            </w:tcBorders>
            <w:shd w:fill="FEF0E6" w:val="clear"/>
            <w:tcMar>
              <w:top w:type="dxa" w:w="80"/>
              <w:left w:type="dxa" w:w="120"/>
              <w:bottom w:type="dxa" w:w="80"/>
              <w:right w:type="dxa" w:w="120"/>
            </w:tcMar>
            <w:vAlign w:val="center"/>
          </w:tcPr>
          <w:p>
            <w:r>
              <w:rPr>
                <w:rFonts w:ascii="Arial" w:cs="Arial" w:eastAsia="Arial" w:hAnsi="Arial"/>
                <w:b/>
                <w:bCs/>
                <w:color w:val="E67E22"/>
                <w:sz w:val="18"/>
                <w:szCs w:val="18"/>
              </w:rPr>
              <w:t xml:space="preserve">High</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AppNavShell breadcrumb for /help shows 'Settings &gt; Help' (BREADCRUMB_MAP['/help'] = ['Settings', 'Help']). Help is a top-level sidebar navigation item, not a child of Settings. Incorrect parent.</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Update BREADCRUMB_MAP in AppNavShell.tsx: BREADCRUMB_MAP['/help'] = ['Help']. Also correct the Help page's own internal breadcrumb if it has one.</w:t>
            </w:r>
          </w:p>
        </w:tc>
      </w:tr>
      <w:tr>
        <w:tc>
          <w:tcPr>
            <w:tcW w:type="dxa" w:w="4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32</w:t>
            </w:r>
          </w:p>
        </w:tc>
        <w:tc>
          <w:tcPr>
            <w:tcW w:type="dxa" w:w="16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/help</w:t>
            </w:r>
          </w:p>
        </w:tc>
        <w:tc>
          <w:tcPr>
            <w:tcW w:type="dxa" w:w="15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User Journey Continuity</w:t>
            </w:r>
          </w:p>
        </w:tc>
        <w:tc>
          <w:tcPr>
            <w:tcW w:type="dxa" w:w="900"/>
            <w:tcBorders>
              <w:top w:val="single" w:color="CCCCCC" w:sz="4"/>
              <w:left w:val="single" w:color="CCCCCC" w:sz="4"/>
              <w:bottom w:val="single" w:color="CCCCCC" w:sz="4"/>
              <w:right w:val="single" w:color="CCCCCC" w:sz="4"/>
            </w:tcBorders>
            <w:shd w:fill="FEF0E6" w:val="clear"/>
            <w:tcMar>
              <w:top w:type="dxa" w:w="80"/>
              <w:left w:type="dxa" w:w="120"/>
              <w:bottom w:type="dxa" w:w="80"/>
              <w:right w:type="dxa" w:w="120"/>
            </w:tcMar>
            <w:vAlign w:val="center"/>
          </w:tcPr>
          <w:p>
            <w:r>
              <w:rPr>
                <w:rFonts w:ascii="Arial" w:cs="Arial" w:eastAsia="Arial" w:hAnsi="Arial"/>
                <w:b/>
                <w:bCs/>
                <w:color w:val="E67E22"/>
                <w:sz w:val="18"/>
                <w:szCs w:val="18"/>
              </w:rPr>
              <w:t xml:space="preserve">High</w:t>
            </w:r>
          </w:p>
        </w:tc>
        <w:tc>
          <w:tcPr>
            <w:tcW w:type="dxa" w:w="52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/help renders ComingSoon. 'Help &amp; Support' is visible in the primary navigation. Any user or demo audience clicking Help hits a dead end.</w:t>
            </w:r>
          </w:p>
        </w:tc>
        <w:tc>
          <w:tcPr>
            <w:tcW w:type="dxa" w:w="48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Add '/help' to TARGET_SCOPE_READY_ROUTES. HelpSupport.tsx already exists. If it has a double-header issue (see #31), fix the breadcrumb before activating.</w:t>
            </w:r>
          </w:p>
        </w:tc>
      </w:tr>
      <w:tr>
        <w:tc>
          <w:tcPr>
            <w:tcW w:type="dxa" w:w="4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33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/404</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Brand Consistency</w:t>
            </w:r>
          </w:p>
        </w:tc>
        <w:tc>
          <w:tcPr>
            <w:tcW w:type="dxa" w:w="9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center"/>
          </w:tcPr>
          <w:p>
            <w:r>
              <w:rPr>
                <w:rFonts w:ascii="Arial" w:cs="Arial" w:eastAsia="Arial" w:hAnsi="Arial"/>
                <w:b/>
                <w:bCs/>
                <w:color w:val="27AE60"/>
                <w:sz w:val="18"/>
                <w:szCs w:val="18"/>
              </w:rPr>
              <w:t xml:space="preserve">Low</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NotFound.tsx contains a source code comment: '// Next.js catch-all not-found page'. The active stack is React + Vite, not Next.js. Minor but signals copy-paste origin.</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Update comment to '// Vite SPA 404 fallback'. Check that the router correctly serves this component for undefined paths.</w:t>
            </w:r>
          </w:p>
        </w:tc>
      </w:tr>
      <w:tr>
        <w:tc>
          <w:tcPr>
            <w:gridSpan w:val="6"/>
            <w:tcBorders>
              <w:top w:val="single" w:color="2C3E50" w:sz="4"/>
              <w:left w:val="single" w:color="2C3E50" w:sz="4"/>
              <w:bottom w:val="single" w:color="2C3E50" w:sz="4"/>
              <w:right w:val="single" w:color="2C3E50" w:sz="4"/>
            </w:tcBorders>
            <w:shd w:fill="2C3E50" w:val="clear"/>
            <w:tcMar>
              <w:top w:type="dxa" w:w="60"/>
              <w:left w:type="dxa" w:w="160"/>
              <w:bottom w:type="dxa" w:w="60"/>
              <w:right w:type="dxa" w:w="160"/>
            </w:tcMar>
          </w:tcPr>
          <w:p>
            <w:r>
              <w:rPr>
                <w:rFonts w:ascii="Arial" w:cs="Arial" w:eastAsia="Arial" w:hAnsi="Arial"/>
                <w:b/>
                <w:bCs/>
                <w:color w:val="FFFFFF"/>
                <w:sz w:val="22"/>
                <w:szCs w:val="22"/>
              </w:rPr>
              <w:t xml:space="preserve">PRIORITY 9 — CROSS-CUTTING: ARCHITECTURE &amp; POLISH</w:t>
            </w:r>
          </w:p>
        </w:tc>
      </w:tr>
      <w:tr>
        <w:tc>
          <w:tcPr>
            <w:tcW w:type="dxa" w:w="4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34</w:t>
            </w:r>
          </w:p>
        </w:tc>
        <w:tc>
          <w:tcPr>
            <w:tcW w:type="dxa" w:w="16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All engine pages</w:t>
            </w:r>
          </w:p>
        </w:tc>
        <w:tc>
          <w:tcPr>
            <w:tcW w:type="dxa" w:w="15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Visual Polish</w:t>
            </w:r>
          </w:p>
        </w:tc>
        <w:tc>
          <w:tcPr>
            <w:tcW w:type="dxa" w:w="900"/>
            <w:tcBorders>
              <w:top w:val="single" w:color="CCCCCC" w:sz="4"/>
              <w:left w:val="single" w:color="CCCCCC" w:sz="4"/>
              <w:bottom w:val="single" w:color="CCCCCC" w:sz="4"/>
              <w:right w:val="single" w:color="CCCCCC" w:sz="4"/>
            </w:tcBorders>
            <w:shd w:fill="FEF9E6" w:val="clear"/>
            <w:tcMar>
              <w:top w:type="dxa" w:w="80"/>
              <w:left w:type="dxa" w:w="120"/>
              <w:bottom w:type="dxa" w:w="80"/>
              <w:right w:type="dxa" w:w="120"/>
            </w:tcMar>
            <w:vAlign w:val="center"/>
          </w:tcPr>
          <w:p>
            <w:r>
              <w:rPr>
                <w:rFonts w:ascii="Arial" w:cs="Arial" w:eastAsia="Arial" w:hAnsi="Arial"/>
                <w:b/>
                <w:bCs/>
                <w:color w:val="B7860B"/>
                <w:sz w:val="18"/>
                <w:szCs w:val="18"/>
              </w:rPr>
              <w:t xml:space="preserve">Medium</w:t>
            </w:r>
          </w:p>
        </w:tc>
        <w:tc>
          <w:tcPr>
            <w:tcW w:type="dxa" w:w="52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Framer Motion presets (spring, fadeUp, staggerContainer) are redefined locally in 10+ page files. This violates the project architecture rule in CLAUDE.md: 'Motion presets — import from @/lib/motion-presets (ローカル定義禁止)'. Divergent timing constants can cause subtle animation inconsistencies.</w:t>
            </w:r>
          </w:p>
        </w:tc>
        <w:tc>
          <w:tcPr>
            <w:tcW w:type="dxa" w:w="48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Audit all page files under src/pages/. Replace local const spring = {...} / const fadeUp = {...} with: import { fadeUp, staggerContainer } from '@/lib/motion-presets'.</w:t>
            </w:r>
          </w:p>
        </w:tc>
      </w:tr>
      <w:tr>
        <w:tc>
          <w:tcPr>
            <w:tcW w:type="dxa" w:w="4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35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Engine pages (5+)</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Visual Polish</w:t>
            </w:r>
          </w:p>
        </w:tc>
        <w:tc>
          <w:tcPr>
            <w:tcW w:type="dxa" w:w="900"/>
            <w:tcBorders>
              <w:top w:val="single" w:color="CCCCCC" w:sz="4"/>
              <w:left w:val="single" w:color="CCCCCC" w:sz="4"/>
              <w:bottom w:val="single" w:color="CCCCCC" w:sz="4"/>
              <w:right w:val="single" w:color="CCCCCC" w:sz="4"/>
            </w:tcBorders>
            <w:shd w:fill="FEF9E6" w:val="clear"/>
            <w:tcMar>
              <w:top w:type="dxa" w:w="80"/>
              <w:left w:type="dxa" w:w="120"/>
              <w:bottom w:type="dxa" w:w="80"/>
              <w:right w:type="dxa" w:w="120"/>
            </w:tcMar>
            <w:vAlign w:val="center"/>
          </w:tcPr>
          <w:p>
            <w:r>
              <w:rPr>
                <w:rFonts w:ascii="Arial" w:cs="Arial" w:eastAsia="Arial" w:hAnsi="Arial"/>
                <w:b/>
                <w:bCs/>
                <w:color w:val="B7860B"/>
                <w:sz w:val="18"/>
                <w:szCs w:val="18"/>
              </w:rPr>
              <w:t xml:space="preserve">Medium</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GovernFooter, AuroraPulse, and GlassCard are defined inline in Dashboard.tsx, Protect.tsx, Grow.tsx, Execute.tsx, and Govern.tsx. The inline GovernFooter variants have subtle differences: different link destinations, different aria labels, and different auditId formats.</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Import from @/components/poseidon in all engine pages. Ensure auditId values come from GOVERNANCE_META imported from @/lib/governance-meta.ts as required by CLAUDE.md.</w:t>
            </w:r>
          </w:p>
        </w:tc>
      </w:tr>
      <w:tr>
        <w:tc>
          <w:tcPr>
            <w:tcW w:type="dxa" w:w="4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36</w:t>
            </w:r>
          </w:p>
        </w:tc>
        <w:tc>
          <w:tcPr>
            <w:tcW w:type="dxa" w:w="16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Landing (MetricsStrip)</w:t>
            </w:r>
          </w:p>
        </w:tc>
        <w:tc>
          <w:tcPr>
            <w:tcW w:type="dxa" w:w="15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Data Realism / Narrative</w:t>
            </w:r>
          </w:p>
        </w:tc>
        <w:tc>
          <w:tcPr>
            <w:tcW w:type="dxa" w:w="900"/>
            <w:tcBorders>
              <w:top w:val="single" w:color="CCCCCC" w:sz="4"/>
              <w:left w:val="single" w:color="CCCCCC" w:sz="4"/>
              <w:bottom w:val="single" w:color="CCCCCC" w:sz="4"/>
              <w:right w:val="single" w:color="CCCCCC" w:sz="4"/>
            </w:tcBorders>
            <w:shd w:fill="FEF9E6" w:val="clear"/>
            <w:tcMar>
              <w:top w:type="dxa" w:w="80"/>
              <w:left w:type="dxa" w:w="120"/>
              <w:bottom w:type="dxa" w:w="80"/>
              <w:right w:type="dxa" w:w="120"/>
            </w:tcMar>
            <w:vAlign w:val="center"/>
          </w:tcPr>
          <w:p>
            <w:r>
              <w:rPr>
                <w:rFonts w:ascii="Arial" w:cs="Arial" w:eastAsia="Arial" w:hAnsi="Arial"/>
                <w:b/>
                <w:bCs/>
                <w:color w:val="B7860B"/>
                <w:sz w:val="18"/>
                <w:szCs w:val="18"/>
              </w:rPr>
              <w:t xml:space="preserve">Medium</w:t>
            </w:r>
          </w:p>
        </w:tc>
        <w:tc>
          <w:tcPr>
            <w:tcW w:type="dxa" w:w="52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Landing page MetricsStrip shows 'System Confidence: 0.92' (raw decimal). Decisions Audited: 1,247; Threats Blocked: 23; Response Time: &lt;200ms. These are static strings with sparklines. An investor audience will notice they never change on page refresh.</w:t>
            </w:r>
          </w:p>
        </w:tc>
        <w:tc>
          <w:tcPr>
            <w:tcW w:type="dxa" w:w="48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Format confidence as 92%. Consider adding a CSS animation that cycles the values slightly (±5%) to create the appearance of live data. Or add a 'Last updated: 4m ago' label.</w:t>
            </w:r>
          </w:p>
        </w:tc>
      </w:tr>
      <w:tr>
        <w:tc>
          <w:tcPr>
            <w:tcW w:type="dxa" w:w="4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37</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All public pages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Accessibility / Polish</w:t>
            </w:r>
          </w:p>
        </w:tc>
        <w:tc>
          <w:tcPr>
            <w:tcW w:type="dxa" w:w="9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center"/>
          </w:tcPr>
          <w:p>
            <w:r>
              <w:rPr>
                <w:rFonts w:ascii="Arial" w:cs="Arial" w:eastAsia="Arial" w:hAnsi="Arial"/>
                <w:b/>
                <w:bCs/>
                <w:color w:val="27AE60"/>
                <w:sz w:val="18"/>
                <w:szCs w:val="18"/>
              </w:rPr>
              <w:t xml:space="preserve">Low</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Only LandingPreviewNew.tsx includes a 'Skip to main content' accessibility link. All other public pages (Landing, Pricing, Signup, Login) are missing this. Also relevant for keyboard-navigation demos.</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Add &lt;a href='#main-content' className='sr-only focus:not-sr-only ...'&gt;Skip to main content&lt;/a&gt; as the first element in PublicTopBar or each public page layout.</w:t>
            </w:r>
          </w:p>
        </w:tc>
      </w:tr>
      <w:tr>
        <w:tc>
          <w:tcPr>
            <w:tcW w:type="dxa" w:w="4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38</w:t>
            </w:r>
          </w:p>
        </w:tc>
        <w:tc>
          <w:tcPr>
            <w:tcW w:type="dxa" w:w="16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 (Landing)</w:t>
            </w:r>
          </w:p>
        </w:tc>
        <w:tc>
          <w:tcPr>
            <w:tcW w:type="dxa" w:w="15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Trust &amp; Credibility</w:t>
            </w:r>
          </w:p>
        </w:tc>
        <w:tc>
          <w:tcPr>
            <w:tcW w:type="dxa" w:w="9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center"/>
          </w:tcPr>
          <w:p>
            <w:r>
              <w:rPr>
                <w:rFonts w:ascii="Arial" w:cs="Arial" w:eastAsia="Arial" w:hAnsi="Arial"/>
                <w:b/>
                <w:bCs/>
                <w:color w:val="27AE60"/>
                <w:sz w:val="18"/>
                <w:szCs w:val="18"/>
              </w:rPr>
              <w:t xml:space="preserve">Low</w:t>
            </w:r>
          </w:p>
        </w:tc>
        <w:tc>
          <w:tcPr>
            <w:tcW w:type="dxa" w:w="52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Trust badges (Bank-grade encryption, GDPR compliant, 100% auditable) are decorative text with icons. None link to the Trust &amp; Safety page. This is a missed conversion opportunity to validate the claim.</w:t>
            </w:r>
          </w:p>
        </w:tc>
        <w:tc>
          <w:tcPr>
            <w:tcW w:type="dxa" w:w="48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Wrap each badge in a Link to='/trust'. Add a subtle underline-on-hover to signal interactivity.</w:t>
            </w:r>
          </w:p>
        </w:tc>
      </w:tr>
      <w:tr>
        <w:tc>
          <w:tcPr>
            <w:tcW w:type="dxa" w:w="4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39</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/pricing</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Data Realism / Narrative</w:t>
            </w:r>
          </w:p>
        </w:tc>
        <w:tc>
          <w:tcPr>
            <w:tcW w:type="dxa" w:w="9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center"/>
          </w:tcPr>
          <w:p>
            <w:r>
              <w:rPr>
                <w:rFonts w:ascii="Arial" w:cs="Arial" w:eastAsia="Arial" w:hAnsi="Arial"/>
                <w:b/>
                <w:bCs/>
                <w:color w:val="27AE60"/>
                <w:sz w:val="18"/>
                <w:szCs w:val="18"/>
              </w:rPr>
              <w:t xml:space="preserve">Low</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Starter plan is labeled 'Starter' in Pricing.tsx but referenced as 'Free' in other contexts. Minor inconsistency in plan naming across surfaces.</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Standardize on one name. 'Free tier' or 'Starter — Free' for clarity. Apply consistently across Pricing, Signup, and any Dashboard plan references.</w:t>
            </w:r>
          </w:p>
        </w:tc>
      </w:tr>
      <w:tr>
        <w:tc>
          <w:tcPr>
            <w:tcW w:type="dxa" w:w="4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40</w:t>
            </w:r>
          </w:p>
        </w:tc>
        <w:tc>
          <w:tcPr>
            <w:tcW w:type="dxa" w:w="16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  (Hero video)</w:t>
            </w:r>
          </w:p>
        </w:tc>
        <w:tc>
          <w:tcPr>
            <w:tcW w:type="dxa" w:w="15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Visual Polish</w:t>
            </w:r>
          </w:p>
        </w:tc>
        <w:tc>
          <w:tcPr>
            <w:tcW w:type="dxa" w:w="9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center"/>
          </w:tcPr>
          <w:p>
            <w:r>
              <w:rPr>
                <w:rFonts w:ascii="Arial" w:cs="Arial" w:eastAsia="Arial" w:hAnsi="Arial"/>
                <w:b/>
                <w:bCs/>
                <w:color w:val="27AE60"/>
                <w:sz w:val="18"/>
                <w:szCs w:val="18"/>
              </w:rPr>
              <w:t xml:space="preserve">Low</w:t>
            </w:r>
          </w:p>
        </w:tc>
        <w:tc>
          <w:tcPr>
            <w:tcW w:type="dxa" w:w="52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Hero section loads /videos/hero-bg.mp4 as a background. If the video file is absent or slow to load, the hero section degrades gracefully to the background gradient — but no poster image is specified, causing a brief white flash before the gradient renders.</w:t>
            </w:r>
          </w:p>
        </w:tc>
        <w:tc>
          <w:tcPr>
            <w:tcW w:type="dxa" w:w="4800"/>
            <w:tcBorders>
              <w:top w:val="single" w:color="CCCCCC" w:sz="4"/>
              <w:left w:val="single" w:color="CCCCCC" w:sz="4"/>
              <w:bottom w:val="single" w:color="CCCCCC" w:sz="4"/>
              <w:right w:val="single" w:color="CCCCCC" w:sz="4"/>
            </w:tcBorders>
            <w:shd w:fill="EEF6FB" w:val="clear"/>
            <w:tcMar>
              <w:top w:type="dxa" w:w="80"/>
              <w:left w:type="dxa" w:w="120"/>
              <w:bottom w:type="dxa" w:w="80"/>
              <w:right w:type="dxa" w:w="120"/>
            </w:tcMar>
            <w:vAlign w:val="top"/>
          </w:tcPr>
          <w:p>
            <w:r>
              <w:rPr>
                <w:rFonts w:ascii="Arial" w:cs="Arial" w:eastAsia="Arial" w:hAnsi="Arial"/>
                <w:b w:val="false"/>
                <w:bCs w:val="false"/>
                <w:color w:val="2C3E50"/>
                <w:sz w:val="18"/>
                <w:szCs w:val="18"/>
              </w:rPr>
              <w:t xml:space="preserve">Add poster='/images/hero-poster.jpg' to the &lt;video&gt; element. Ensure the poster is a dark screenshot of the first frame.</w:t>
            </w:r>
          </w:p>
        </w:tc>
      </w:tr>
    </w:tbl>
    <w:p>
      <w:r>
        <w:br w:type="page"/>
      </w:r>
    </w:p>
    <w:p>
      <w:pPr>
        <w:pStyle w:val="Heading2"/>
      </w:pPr>
      <w:r>
        <w:t xml:space="preserve">Remediation Priority Plan — T-minus Demo Day</w:t>
      </w:r>
    </w:p>
    <w:p>
      <w:pPr>
        <w:spacing w:after="80"/>
      </w:pPr>
      <w:r>
        <w:rPr>
          <w:rFonts w:ascii="Arial" w:cs="Arial" w:eastAsia="Arial" w:hAnsi="Arial"/>
          <w:b w:val="false"/>
          <w:bCs w:val="false"/>
          <w:color w:val="2C3E50"/>
          <w:sz w:val="20"/>
          <w:szCs w:val="20"/>
        </w:rPr>
        <w:t xml:space="preserve">Day 0 (before demo): Fix all Critical findings (#1, #2, #3, #4). These block or break the 5-minute golden path walkthrough. Total effort: ~3-4 hours of targeted code changes.</w:t>
      </w:r>
    </w:p>
    <w:p>
      <w:pPr>
        <w:spacing w:after="80"/>
      </w:pPr>
      <w:r>
        <w:rPr>
          <w:rFonts w:ascii="Arial" w:cs="Arial" w:eastAsia="Arial" w:hAnsi="Arial"/>
          <w:color w:val="2C3E50"/>
          <w:sz w:val="20"/>
          <w:szCs w:val="20"/>
        </w:rPr>
        <w:t xml:space="preserve">Day 1: Address High findings (#5, #6, #7, #11, #12, #13, #16, #23, #26, #29, #31, #32). These visibly degrade the demo narrative or create broken navigation paths. Estimated 6-8 hours total.</w:t>
      </w:r>
    </w:p>
    <w:p>
      <w:pPr>
        <w:spacing w:after="80"/>
      </w:pPr>
      <w:r>
        <w:rPr>
          <w:rFonts w:ascii="Arial" w:cs="Arial" w:eastAsia="Arial" w:hAnsi="Arial"/>
          <w:color w:val="2C3E50"/>
          <w:sz w:val="20"/>
          <w:szCs w:val="20"/>
        </w:rPr>
        <w:t xml:space="preserve">Day 2-3: Address Medium findings (#8-#10, #14-#15, #17-#22, #24-#25, #27-#28, #30, #34-#36). These reduce polish but the demo can survive without them.</w:t>
      </w:r>
    </w:p>
    <w:p>
      <w:pPr>
        <w:spacing w:after="240"/>
      </w:pPr>
      <w:r>
        <w:rPr>
          <w:rFonts w:ascii="Arial" w:cs="Arial" w:eastAsia="Arial" w:hAnsi="Arial"/>
          <w:color w:val="7F8C8D"/>
          <w:sz w:val="20"/>
          <w:szCs w:val="20"/>
        </w:rPr>
        <w:t xml:space="preserve">Post-demo cleanup: Low findings (#21, #33, #37-#40). Minor polish items with low visibility in a 5-minute audience presentation.</w:t>
      </w:r>
    </w:p>
    <w:p>
      <w:pPr>
        <w:pStyle w:val="Heading2"/>
      </w:pPr>
      <w:r>
        <w:t xml:space="preserve">Minimum Viable Demo Golden Path (Post-Fix)</w:t>
      </w:r>
    </w:p>
    <w:p>
      <w:pPr>
        <w:spacing w:after="40"/>
      </w:pPr>
      <w:r>
        <w:rPr>
          <w:rFonts w:ascii="Arial" w:cs="Arial" w:eastAsia="Arial" w:hAnsi="Arial"/>
          <w:color w:val="2C3E50"/>
          <w:sz w:val="20"/>
          <w:szCs w:val="20"/>
        </w:rPr>
        <w:t xml:space="preserve">Step 1: Landing page (/) → hero CTA 'Open Dashboard' or nav 'Get Started' → /signup</w:t>
      </w:r>
    </w:p>
    <w:p>
      <w:pPr>
        <w:spacing w:after="40"/>
      </w:pPr>
      <w:r>
        <w:rPr>
          <w:rFonts w:ascii="Arial" w:cs="Arial" w:eastAsia="Arial" w:hAnsi="Arial"/>
          <w:color w:val="2C3E50"/>
          <w:sz w:val="20"/>
          <w:szCs w:val="20"/>
        </w:rPr>
        <w:t xml:space="preserve">Step 2: /signup → 'Continue onboarding' → /onboarding/connect → toggle 2 sources → /onboarding/goals → /onboarding/consent → /onboarding/complete</w:t>
      </w:r>
    </w:p>
    <w:p>
      <w:pPr>
        <w:spacing w:after="40"/>
      </w:pPr>
      <w:r>
        <w:rPr>
          <w:rFonts w:ascii="Arial" w:cs="Arial" w:eastAsia="Arial" w:hAnsi="Arial"/>
          <w:color w:val="2C3E50"/>
          <w:sz w:val="20"/>
          <w:szCs w:val="20"/>
        </w:rPr>
        <w:t xml:space="preserve">Step 3: /dashboard → review hero KPIs → click Protect engine → /protect → click Investigate on threat #1 → /protect/alert-detail</w:t>
      </w:r>
    </w:p>
    <w:p>
      <w:pPr>
        <w:spacing w:after="40"/>
      </w:pPr>
      <w:r>
        <w:rPr>
          <w:rFonts w:ascii="Arial" w:cs="Arial" w:eastAsia="Arial" w:hAnsi="Arial"/>
          <w:color w:val="2C3E50"/>
          <w:sz w:val="20"/>
          <w:szCs w:val="20"/>
        </w:rPr>
        <w:t xml:space="preserve">Step 4: /grow → click 'Compare scenarios' → /grow/scenarios → select Moderate boost → click 'Send to Execute' → /execute</w:t>
      </w:r>
    </w:p>
    <w:p>
      <w:pPr>
        <w:spacing w:after="40"/>
      </w:pPr>
      <w:r>
        <w:rPr>
          <w:rFonts w:ascii="Arial" w:cs="Arial" w:eastAsia="Arial" w:hAnsi="Arial"/>
          <w:b/>
          <w:bCs/>
          <w:color w:val="C0392B"/>
          <w:sz w:val="20"/>
          <w:szCs w:val="20"/>
        </w:rPr>
        <w:t xml:space="preserve">Step 5: /execute → review queue → click 'Review &amp; Approve' on first item → /execute/approval [CURRENTLY BROKEN — fix #1]</w:t>
      </w:r>
    </w:p>
    <w:p>
      <w:pPr>
        <w:spacing w:after="40"/>
      </w:pPr>
      <w:r>
        <w:rPr>
          <w:rFonts w:ascii="Arial" w:cs="Arial" w:eastAsia="Arial" w:hAnsi="Arial"/>
          <w:color w:val="2C3E50"/>
          <w:sz w:val="20"/>
          <w:szCs w:val="20"/>
        </w:rPr>
        <w:t xml:space="preserve">Step 6: /govern → view audit ledger → /govern/audit → click entry → confirm immutability proof</w:t>
      </w:r>
    </w:p>
    <w:p>
      <w:pPr>
        <w:spacing w:after="240"/>
      </w:pPr>
      <w:r>
        <w:rPr>
          <w:rFonts w:ascii="Arial" w:cs="Arial" w:eastAsia="Arial" w:hAnsi="Arial"/>
          <w:b/>
          <w:bCs/>
          <w:color w:val="155A2E"/>
          <w:sz w:val="20"/>
          <w:szCs w:val="20"/>
        </w:rPr>
        <w:t xml:space="preserve">Confidence assessment: With Critical fixes applied, the golden path scores 9/10 demo confidence. With High fixes applied, overall demo quality reaches production-readiness for the 5-minute walkthrough.</w:t>
      </w:r>
    </w:p>
    <w:p>
      <w:pPr>
        <w:pBdr>
          <w:top w:val="single" w:color="CCCCCC" w:sz="4" w:space="4"/>
        </w:pBdr>
        <w:spacing w:before="240" w:after="0"/>
      </w:pPr>
      <w:r>
        <w:rPr>
          <w:rFonts w:ascii="Arial" w:cs="Arial" w:eastAsia="Arial" w:hAnsi="Arial"/>
          <w:i/>
          <w:iCs/>
          <w:color w:val="7F8C8D"/>
          <w:sz w:val="18"/>
          <w:szCs w:val="18"/>
        </w:rPr>
        <w:t xml:space="preserve">This report was generated via static analysis of the Poseidon.AI source repository at /poseidon-mit.github.io. All file path references correspond to src/ directories. No live browser testing was performed. Findings reflect code state as of 2026-02-19.</w:t>
      </w:r>
    </w:p>
    <w:sectPr>
      <w:headerReference w:type="default" r:id="rId6"/>
      <w:footerReference w:type="default" r:id="rId7"/>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14400"/>
      </w:tabs>
      <w:spacing w:before="80"/>
    </w:pPr>
    <w:r>
      <w:rPr>
        <w:rFonts w:ascii="Arial" w:cs="Arial" w:eastAsia="Arial" w:hAnsi="Arial"/>
        <w:color w:val="7F8C8D"/>
        <w:sz w:val="16"/>
        <w:szCs w:val="16"/>
      </w:rPr>
      <w:t xml:space="preserve">Poseidon.AI — Audit Report v1.0</w:t>
    </w:r>
    <w:r>
      <w:rPr>
        <w:rFonts w:ascii="Arial" w:cs="Arial" w:eastAsia="Arial" w:hAnsi="Arial"/>
        <w:color w:val="7F8C8D"/>
        <w:sz w:val="16"/>
        <w:szCs w:val="16"/>
      </w:rPr>
      <w:t xml:space="preserve">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14400"/>
      </w:tabs>
      <w:spacing w:after="0"/>
    </w:pPr>
    <w:r>
      <w:rPr>
        <w:rFonts w:ascii="Arial" w:cs="Arial" w:eastAsia="Arial" w:hAnsi="Arial"/>
        <w:color w:val="2C3E50"/>
        <w:sz w:val="18"/>
        <w:szCs w:val="18"/>
      </w:rPr>
      <w:t xml:space="preserve">Poseidon.AI  —  MIT Final Presentation Readiness Audit</w:t>
    </w:r>
    <w:r>
      <w:rPr>
        <w:rFonts w:ascii="Arial" w:cs="Arial" w:eastAsia="Arial" w:hAnsi="Arial"/>
        <w:color w:val="7F8C8D"/>
        <w:sz w:val="18"/>
        <w:szCs w:val="18"/>
      </w:rPr>
      <w:t xml:space="preserve">	CONFIDENTIAL  ·  2026-02-19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B1221"/>
      <w:sz w:val="36"/>
      <w:szCs w:val="36"/>
    </w:rPr>
  </w:style>
  <w:style w:type="paragraph" w:styleId="Heading2">
    <w:name w:val="Heading 2"/>
    <w:basedOn w:val="Normal"/>
    <w:next w:val="Normal"/>
    <w:qFormat/>
    <w:pPr>
      <w:spacing w:before="240" w:after="8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2026-02-19T13:23:49.850Z</dcterms:created>
  <dcterms:modified xsi:type="dcterms:W3CDTF">2026-02-19T13:23:49.850Z</dcterms:modified>
</cp:coreProperties>
</file>

<file path=docProps/custom.xml><?xml version="1.0" encoding="utf-8"?>
<Properties xmlns="http://schemas.openxmlformats.org/officeDocument/2006/custom-properties" xmlns:vt="http://schemas.openxmlformats.org/officeDocument/2006/docPropsVTypes"/>
</file>