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120"/>
      </w:pPr>
      <w:r>
        <w:rPr>
          <w:rFonts w:ascii="Arial" w:cs="Arial" w:eastAsia="Arial" w:hAnsi="Arial"/>
          <w:b/>
          <w:bCs/>
          <w:color w:val="0F172A"/>
          <w:sz w:val="72"/>
          <w:szCs w:val="72"/>
        </w:rPr>
        <w:t xml:space="preserve">Poseidon.AI</w:t>
      </w:r>
    </w:p>
    <w:p>
      <w:pPr>
        <w:spacing w:before="0" w:after="480"/>
      </w:pPr>
      <w:r>
        <w:rPr>
          <w:rFonts w:ascii="Arial" w:cs="Arial" w:eastAsia="Arial" w:hAnsi="Arial"/>
          <w:color w:val="334155"/>
          <w:sz w:val="44"/>
          <w:szCs w:val="44"/>
        </w:rPr>
        <w:t xml:space="preserve">UX / Product Quality Audit Report</w:t>
      </w:r>
    </w:p>
    <w:tbl>
      <w:tblPr>
        <w:tblW w:type="dxa" w:w="40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tblGrid>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Audit Date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2026-02-19</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Method</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Static source analysis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Routes Audited</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~25 of 40+ routes</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Audience</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MIT faculty, industry professionals</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Stack</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React 19 + Vite + GitHub Pages</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Findings</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24 total (3 Critical, 8 High, 8 Medium, 5 Low)</w:t>
            </w:r>
          </w:p>
        </w:tc>
      </w:tr>
      <w:tr>
        <w:tc>
          <w:tcPr>
            <w:tcW w:type="dxa" w:w="1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Overall Score</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6.1 / 10</w:t>
            </w:r>
          </w:p>
        </w:tc>
      </w:tr>
      <w:tr>
        <w:tc>
          <w:tcPr>
            <w:tcW w:type="dxa" w:w="16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bCs/>
                <w:i w:val="false"/>
                <w:iCs w:val="false"/>
                <w:color w:val="1E293B"/>
                <w:sz w:val="19"/>
                <w:szCs w:val="19"/>
              </w:rPr>
              <w:t xml:space="preserve">Ship Confidence (P0 fixed)</w:t>
            </w:r>
          </w:p>
        </w:tc>
        <w:tc>
          <w:tcPr>
            <w:tcW w:type="dxa" w:w="2400"/>
            <w:tcBorders>
              <w:top w:val="single" w:color="CBD5E1" w:sz="4"/>
              <w:left w:val="single" w:color="CBD5E1" w:sz="4"/>
              <w:bottom w:val="single" w:color="CBD5E1" w:sz="4"/>
              <w:right w:val="single" w:color="CBD5E1" w:sz="4"/>
            </w:tcBorders>
            <w:shd w:fill="F1F5F9"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9"/>
                <w:szCs w:val="19"/>
              </w:rPr>
              <w:t xml:space="preserve">7 / 10</w:t>
            </w:r>
          </w:p>
        </w:tc>
      </w:tr>
    </w:tbl>
    <w:p>
      <w:r>
        <w:br w:type="page"/>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0EA5E9" w:sz="8" w:space="4"/>
        </w:pBdr>
        <w:spacing w:before="480" w:after="200"/>
      </w:pPr>
      <w:r>
        <w:rPr>
          <w:rFonts w:ascii="Arial" w:cs="Arial" w:eastAsia="Arial" w:hAnsi="Arial"/>
          <w:b/>
          <w:bCs/>
          <w:color w:val="0F172A"/>
          <w:sz w:val="36"/>
          <w:szCs w:val="36"/>
        </w:rPr>
        <w:t xml:space="preserve">A. Executive Summary</w:t>
      </w:r>
    </w:p>
    <w:p>
      <w:pPr>
        <w:pStyle w:val="Heading2"/>
        <w:spacing w:before="320" w:after="120"/>
      </w:pPr>
      <w:r>
        <w:rPr>
          <w:rFonts w:ascii="Arial" w:cs="Arial" w:eastAsia="Arial" w:hAnsi="Arial"/>
          <w:b/>
          <w:bCs/>
          <w:color w:val="0F172A"/>
          <w:sz w:val="28"/>
          <w:szCs w:val="28"/>
        </w:rPr>
        <w:t xml:space="preserve">A.1 Readiness Score: 6.1 / 10</w:t>
      </w:r>
    </w:p>
    <w:p>
      <w:pPr>
        <w:spacing w:before="60" w:after="60"/>
      </w:pPr>
      <w:r>
        <w:rPr>
          <w:rFonts w:ascii="Arial" w:cs="Arial" w:eastAsia="Arial" w:hAnsi="Arial"/>
          <w:b w:val="false"/>
          <w:bCs w:val="false"/>
          <w:color w:val="334155"/>
          <w:sz w:val="20"/>
          <w:szCs w:val="20"/>
        </w:rPr>
        <w:t xml:space="preserve">Overall rating is weighted by demo-path impact. The three Critical findings drive a 1.5-point deduction because they occur on routes central to the demo narrative (protect flow, governance dashboard). The product has strong visual and motion quality but is undermined by data coherence failures and dead interactions on core workflows.</w:t>
      </w:r>
    </w:p>
    <w:p>
      <w:pP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900"/>
        <w:gridCol w:w="5260"/>
      </w:tblGrid>
      <w:tr>
        <w:trPr>
          <w:tblHeader/>
        </w:trPr>
        <w:tc>
          <w:tcPr>
            <w:tcW w:type="dxa" w:w="32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Dimension</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Score</w:t>
            </w:r>
          </w:p>
        </w:tc>
        <w:tc>
          <w:tcPr>
            <w:tcW w:type="dxa" w:w="52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Notes</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Visual polish &amp; brand consistency</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7/10</w:t>
            </w:r>
          </w:p>
        </w:tc>
        <w:tc>
          <w:tcPr>
            <w:tcW w:type="dxa" w:w="5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GovernFooter 3-variant fragmentation; AuroraPulse hex violations</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Data coherence — cross-page narrative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4/10</w:t>
            </w:r>
          </w:p>
        </w:tc>
        <w:tc>
          <w:tcPr>
            <w:tcW w:type="dxa" w:w="5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Critical: merchant name, amount, SHAP scale inconsistent</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Interaction quality &amp; micro-interactions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5/10</w:t>
            </w:r>
          </w:p>
        </w:tc>
        <w:tc>
          <w:tcPr>
            <w:tcW w:type="dxa" w:w="5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Multiple dead buttons in core workflows (Defer, Request verification, Export)</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Onboarding journey continuity</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5/10</w:t>
            </w:r>
          </w:p>
        </w:tc>
        <w:tc>
          <w:tcPr>
            <w:tcW w:type="dxa" w:w="5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Contract requires progress indicators on all 4 steps; none implemented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Typography &amp; copy quality</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8/10</w:t>
            </w:r>
          </w:p>
        </w:tc>
        <w:tc>
          <w:tcPr>
            <w:tcW w:type="dxa" w:w="5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Clean and professional; h1 factual error (5 engines vs 4 rendered)</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Navigation &amp; information architecture</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7/10</w:t>
            </w:r>
          </w:p>
        </w:tc>
        <w:tc>
          <w:tcPr>
            <w:tcW w:type="dxa" w:w="5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Engine architecture clear; /404 CTA routes to wrong destination</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Trust &amp; credibility signals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5/10</w:t>
            </w:r>
          </w:p>
        </w:tc>
        <w:tc>
          <w:tcPr>
            <w:tcW w:type="dxa" w:w="5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93% math error on Govern — disqualifying for financial/academic audience</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Responsive display</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7/10</w:t>
            </w:r>
          </w:p>
        </w:tc>
        <w:tc>
          <w:tcPr>
            <w:tcW w:type="dxa" w:w="5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Tailwind responsive classes applied; live breakpoint testing not performed</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Motion quality</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8/10</w:t>
            </w:r>
          </w:p>
        </w:tc>
        <w:tc>
          <w:tcPr>
            <w:tcW w:type="dxa" w:w="5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Framer Motion spring presets consistent; AuroraPulse token violations minor</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Empty / error / loading states</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6/10</w:t>
            </w:r>
          </w:p>
        </w:tc>
        <w:tc>
          <w:tcPr>
            <w:tcW w:type="dxa" w:w="5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404 adequate; no empty state for zero-item approval queue</w:t>
            </w:r>
          </w:p>
        </w:tc>
      </w:tr>
      <w:tr>
        <w:tc>
          <w:tcPr>
            <w:tcW w:type="dxa" w:w="3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Performance &amp; technical polish</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7/10</w:t>
            </w:r>
          </w:p>
        </w:tc>
        <w:tc>
          <w:tcPr>
            <w:tcW w:type="dxa" w:w="52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Lazy loading, Vite; SCREEN_BLUEPRINTS.forbiddenPatterns widely violated</w:t>
            </w:r>
          </w:p>
        </w:tc>
      </w:tr>
      <w:tr>
        <w:tc>
          <w:tcPr>
            <w:tcW w:type="dxa" w:w="3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8"/>
                <w:szCs w:val="18"/>
              </w:rPr>
              <w:t xml:space="preserve">Accessibility</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6/10</w:t>
            </w:r>
          </w:p>
        </w:tc>
        <w:tc>
          <w:tcPr>
            <w:tcW w:type="dxa" w:w="52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iCs/>
                <w:color w:val="1E293B"/>
                <w:sz w:val="17"/>
                <w:szCs w:val="17"/>
              </w:rPr>
              <w:t xml:space="preserve">Partial skip-links; form submit issues; keyboard-trappable disabled buttons</w:t>
            </w:r>
          </w:p>
        </w:tc>
      </w:tr>
    </w:tbl>
    <w:p>
      <w:pPr>
        <w:spacing w:before="80" w:after="80"/>
      </w:pPr>
      <w:r>
        <w:t xml:space="preserve"/>
      </w:r>
    </w:p>
    <w:p>
      <w:pPr>
        <w:pStyle w:val="Heading2"/>
        <w:spacing w:before="320" w:after="120"/>
      </w:pPr>
      <w:r>
        <w:rPr>
          <w:rFonts w:ascii="Arial" w:cs="Arial" w:eastAsia="Arial" w:hAnsi="Arial"/>
          <w:b/>
          <w:bCs/>
          <w:color w:val="0F172A"/>
          <w:sz w:val="28"/>
          <w:szCs w:val="28"/>
        </w:rPr>
        <w:t xml:space="preserve">A.2 Top 10 Risks</w:t>
      </w:r>
    </w:p>
    <w:p>
      <w:pPr>
        <w:spacing w:before="60" w:after="60"/>
      </w:pPr>
      <w:r>
        <w:rPr>
          <w:rFonts w:ascii="Arial" w:cs="Arial" w:eastAsia="Arial" w:hAnsi="Arial"/>
          <w:b/>
          <w:bCs/>
          <w:color w:val="334155"/>
          <w:sz w:val="19"/>
          <w:szCs w:val="19"/>
        </w:rPr>
        <w:t xml:space="preserve">1. [C-001] Dispute letter contradicts itself</w:t>
      </w:r>
    </w:p>
    <w:p>
      <w:pPr>
        <w:spacing w:before="20" w:after="80"/>
      </w:pPr>
      <w:r>
        <w:rPr>
          <w:rFonts w:ascii="Arial" w:cs="Arial" w:eastAsia="Arial" w:hAnsi="Arial"/>
          <w:b w:val="false"/>
          <w:bCs w:val="false"/>
          <w:color w:val="334155"/>
          <w:sz w:val="18"/>
          <w:szCs w:val="18"/>
        </w:rPr>
        <w:t xml:space="preserve">ProtectDispute.tsx line 222 generates a letter with "$4,200.00" and "MerchantX" while the transaction display above shows "$2,847.00" and "TechElectro Store" from DEMO_THREAD. A financial product that contradicts its own data on the same screen is demo-breaking.</w:t>
      </w:r>
    </w:p>
    <w:p>
      <w:pPr>
        <w:spacing w:before="60" w:after="60"/>
      </w:pPr>
      <w:r>
        <w:rPr>
          <w:rFonts w:ascii="Arial" w:cs="Arial" w:eastAsia="Arial" w:hAnsi="Arial"/>
          <w:b/>
          <w:bCs/>
          <w:color w:val="334155"/>
          <w:sz w:val="19"/>
          <w:szCs w:val="19"/>
        </w:rPr>
        <w:t xml:space="preserve">2. [C-002] Stale merchant name in 3+ files</w:t>
      </w:r>
    </w:p>
    <w:p>
      <w:pPr>
        <w:spacing w:before="20" w:after="80"/>
      </w:pPr>
      <w:r>
        <w:rPr>
          <w:rFonts w:ascii="Arial" w:cs="Arial" w:eastAsia="Arial" w:hAnsi="Arial"/>
          <w:b w:val="false"/>
          <w:bCs w:val="false"/>
          <w:color w:val="334155"/>
          <w:sz w:val="18"/>
          <w:szCs w:val="18"/>
        </w:rPr>
        <w:t xml:space="preserve">Dashboard activity feed, ProtectAlertDetail evidence items, and protect-data.ts all use the legacy "MerchantX" / "$4,200" values. The cross-screen narrative thread breaks across the protect golden path.</w:t>
      </w:r>
    </w:p>
    <w:p>
      <w:pPr>
        <w:spacing w:before="60" w:after="60"/>
      </w:pPr>
      <w:r>
        <w:rPr>
          <w:rFonts w:ascii="Arial" w:cs="Arial" w:eastAsia="Arial" w:hAnsi="Arial"/>
          <w:b/>
          <w:bCs/>
          <w:color w:val="334155"/>
          <w:sz w:val="19"/>
          <w:szCs w:val="19"/>
        </w:rPr>
        <w:t xml:space="preserve">3. [C-003] Govern 'Verified: 93%' is mathematically false</w:t>
      </w:r>
    </w:p>
    <w:p>
      <w:pPr>
        <w:spacing w:before="20" w:after="80"/>
      </w:pPr>
      <w:r>
        <w:rPr>
          <w:rFonts w:ascii="Arial" w:cs="Arial" w:eastAsia="Arial" w:hAnsi="Arial"/>
          <w:b w:val="false"/>
          <w:bCs w:val="false"/>
          <w:color w:val="334155"/>
          <w:sz w:val="18"/>
          <w:szCs w:val="18"/>
        </w:rPr>
        <w:t xml:space="preserve">789 / 1,247 = 63.3%, not 93%. The figure 93% = 789/847 (verified ÷ filter-tab total), but is labeled as a share of all 1,247 audited decisions. MIT faculty will compute this on the spot.</w:t>
      </w:r>
    </w:p>
    <w:p>
      <w:pPr>
        <w:spacing w:before="60" w:after="60"/>
      </w:pPr>
      <w:r>
        <w:rPr>
          <w:rFonts w:ascii="Arial" w:cs="Arial" w:eastAsia="Arial" w:hAnsi="Arial"/>
          <w:b/>
          <w:bCs/>
          <w:color w:val="334155"/>
          <w:sz w:val="19"/>
          <w:szCs w:val="19"/>
        </w:rPr>
        <w:t xml:space="preserve">4. [H-004] Onboarding has zero progress indicators</w:t>
      </w:r>
    </w:p>
    <w:p>
      <w:pPr>
        <w:spacing w:before="20" w:after="80"/>
      </w:pPr>
      <w:r>
        <w:rPr>
          <w:rFonts w:ascii="Arial" w:cs="Arial" w:eastAsia="Arial" w:hAnsi="Arial"/>
          <w:b w:val="false"/>
          <w:bCs w:val="false"/>
          <w:color w:val="334155"/>
          <w:sz w:val="18"/>
          <w:szCs w:val="18"/>
        </w:rPr>
        <w:t xml:space="preserve">ONBOARDING_FLOW_CONTRACT.sharedLayout.progressRequired = true in rebuild-contracts.ts. All 4 steps are missing step progress indicators ("1 of 4", dots, progress bar).</w:t>
      </w:r>
    </w:p>
    <w:p>
      <w:pPr>
        <w:spacing w:before="60" w:after="60"/>
      </w:pPr>
      <w:r>
        <w:rPr>
          <w:rFonts w:ascii="Arial" w:cs="Arial" w:eastAsia="Arial" w:hAnsi="Arial"/>
          <w:b/>
          <w:bCs/>
          <w:color w:val="334155"/>
          <w:sz w:val="19"/>
          <w:szCs w:val="19"/>
        </w:rPr>
        <w:t xml:space="preserve">5. [H-007] SHAP shown with 3 incompatible representations</w:t>
      </w:r>
    </w:p>
    <w:p>
      <w:pPr>
        <w:spacing w:before="20" w:after="80"/>
      </w:pPr>
      <w:r>
        <w:rPr>
          <w:rFonts w:ascii="Arial" w:cs="Arial" w:eastAsia="Arial" w:hAnsi="Arial"/>
          <w:b w:val="false"/>
          <w:bCs w:val="false"/>
          <w:color w:val="334155"/>
          <w:sz w:val="18"/>
          <w:szCs w:val="18"/>
        </w:rPr>
        <w:t xml:space="preserve">protect-data.ts uses 0.0–1.0 with raw ML field labels; ProtectAlertDetail uses 1.8–8.2 with human-readable labels; ProtectDispute uses 0.0–1.0 with a third label set. Three scales for the same model on the same transaction.</w:t>
      </w:r>
    </w:p>
    <w:p>
      <w:pPr>
        <w:spacing w:before="60" w:after="60"/>
      </w:pPr>
      <w:r>
        <w:rPr>
          <w:rFonts w:ascii="Arial" w:cs="Arial" w:eastAsia="Arial" w:hAnsi="Arial"/>
          <w:b/>
          <w:bCs/>
          <w:color w:val="334155"/>
          <w:sz w:val="19"/>
          <w:szCs w:val="19"/>
        </w:rPr>
        <w:t xml:space="preserve">6. [H-001] Protect governance date is 0215 (all others: 0216)</w:t>
      </w:r>
    </w:p>
    <w:p>
      <w:pPr>
        <w:spacing w:before="20" w:after="80"/>
      </w:pPr>
      <w:r>
        <w:rPr>
          <w:rFonts w:ascii="Arial" w:cs="Arial" w:eastAsia="Arial" w:hAnsi="Arial"/>
          <w:b w:val="false"/>
          <w:bCs w:val="false"/>
          <w:color w:val="334155"/>
          <w:sz w:val="18"/>
          <w:szCs w:val="18"/>
        </w:rPr>
        <w:t xml:space="preserve">Originates in rebuild-contracts.ts line 544. For a governance-first product, a mismatched audit date signals either a data entry error or an actual audit gap.</w:t>
      </w:r>
    </w:p>
    <w:p>
      <w:pPr>
        <w:spacing w:before="60" w:after="60"/>
      </w:pPr>
      <w:r>
        <w:rPr>
          <w:rFonts w:ascii="Arial" w:cs="Arial" w:eastAsia="Arial" w:hAnsi="Arial"/>
          <w:b/>
          <w:bCs/>
          <w:color w:val="334155"/>
          <w:sz w:val="19"/>
          <w:szCs w:val="19"/>
        </w:rPr>
        <w:t xml:space="preserve">7. [H-002] Execute 'Defer' button is dead</w:t>
      </w:r>
    </w:p>
    <w:p>
      <w:pPr>
        <w:spacing w:before="20" w:after="80"/>
      </w:pPr>
      <w:r>
        <w:rPr>
          <w:rFonts w:ascii="Arial" w:cs="Arial" w:eastAsia="Arial" w:hAnsi="Arial"/>
          <w:b w:val="false"/>
          <w:bCs w:val="false"/>
          <w:color w:val="334155"/>
          <w:sz w:val="18"/>
          <w:szCs w:val="18"/>
        </w:rPr>
        <w:t xml:space="preserve">No onClick handler. The core decision workflow (approve/defer) is 50% non-functional.</w:t>
      </w:r>
    </w:p>
    <w:p>
      <w:pPr>
        <w:spacing w:before="60" w:after="60"/>
      </w:pPr>
      <w:r>
        <w:rPr>
          <w:rFonts w:ascii="Arial" w:cs="Arial" w:eastAsia="Arial" w:hAnsi="Arial"/>
          <w:b/>
          <w:bCs/>
          <w:color w:val="334155"/>
          <w:sz w:val="19"/>
          <w:szCs w:val="19"/>
        </w:rPr>
        <w:t xml:space="preserve">8. [H-003] ProtectAlertDetail 'Request verification' is dead</w:t>
      </w:r>
    </w:p>
    <w:p>
      <w:pPr>
        <w:spacing w:before="20" w:after="80"/>
      </w:pPr>
      <w:r>
        <w:rPr>
          <w:rFonts w:ascii="Arial" w:cs="Arial" w:eastAsia="Arial" w:hAnsi="Arial"/>
          <w:b w:val="false"/>
          <w:bCs w:val="false"/>
          <w:color w:val="334155"/>
          <w:sz w:val="18"/>
          <w:szCs w:val="18"/>
        </w:rPr>
        <w:t xml:space="preserve">No onClick handler. The second primary CTA on the critical alert detail screen produces no response.</w:t>
      </w:r>
    </w:p>
    <w:p>
      <w:pPr>
        <w:spacing w:before="60" w:after="60"/>
      </w:pPr>
      <w:r>
        <w:rPr>
          <w:rFonts w:ascii="Arial" w:cs="Arial" w:eastAsia="Arial" w:hAnsi="Arial"/>
          <w:b/>
          <w:bCs/>
          <w:color w:val="334155"/>
          <w:sz w:val="19"/>
          <w:szCs w:val="19"/>
        </w:rPr>
        <w:t xml:space="preserve">9. [H-005] Execute sidebar 'Completed today: 12' hardcoded at zero-item state</w:t>
      </w:r>
    </w:p>
    <w:p>
      <w:pPr>
        <w:spacing w:before="20" w:after="80"/>
      </w:pPr>
      <w:r>
        <w:rPr>
          <w:rFonts w:ascii="Arial" w:cs="Arial" w:eastAsia="Arial" w:hAnsi="Arial"/>
          <w:b w:val="false"/>
          <w:bCs w:val="false"/>
          <w:color w:val="334155"/>
          <w:sz w:val="18"/>
          <w:szCs w:val="18"/>
        </w:rPr>
        <w:t xml:space="preserve">Initial render shows 0 completed items in the main panel; sidebar claims 12.</w:t>
      </w:r>
    </w:p>
    <w:p>
      <w:pPr>
        <w:spacing w:before="60" w:after="60"/>
      </w:pPr>
      <w:r>
        <w:rPr>
          <w:rFonts w:ascii="Arial" w:cs="Arial" w:eastAsia="Arial" w:hAnsi="Arial"/>
          <w:b/>
          <w:bCs/>
          <w:color w:val="334155"/>
          <w:sz w:val="19"/>
          <w:szCs w:val="19"/>
        </w:rPr>
        <w:t xml:space="preserve">10. [H-008] All 5 threats link to same static route</w:t>
      </w:r>
    </w:p>
    <w:p>
      <w:pPr>
        <w:spacing w:before="20" w:after="80"/>
      </w:pPr>
      <w:r>
        <w:rPr>
          <w:rFonts w:ascii="Arial" w:cs="Arial" w:eastAsia="Arial" w:hAnsi="Arial"/>
          <w:b w:val="false"/>
          <w:bCs w:val="false"/>
          <w:color w:val="334155"/>
          <w:sz w:val="18"/>
          <w:szCs w:val="18"/>
        </w:rPr>
        <w:t xml:space="preserve">No dynamic routing by alert ID. Any of the 5 threat cards always loads the THR-001 detail.</w:t>
      </w:r>
    </w:p>
    <w:p>
      <w:pPr>
        <w:pStyle w:val="Heading2"/>
        <w:spacing w:before="320" w:after="120"/>
      </w:pPr>
      <w:r>
        <w:rPr>
          <w:rFonts w:ascii="Arial" w:cs="Arial" w:eastAsia="Arial" w:hAnsi="Arial"/>
          <w:b/>
          <w:bCs/>
          <w:color w:val="0F172A"/>
          <w:sz w:val="28"/>
          <w:szCs w:val="28"/>
        </w:rPr>
        <w:t xml:space="preserve">A.3 Ship Confidence</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2600"/>
      </w:tblGrid>
      <w:tr>
        <w:trPr>
          <w:tblHeader/>
        </w:trPr>
        <w:tc>
          <w:tcPr>
            <w:tcW w:type="dxa" w:w="24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Condition</w:t>
            </w:r>
          </w:p>
        </w:tc>
        <w:tc>
          <w:tcPr>
            <w:tcW w:type="dxa" w:w="10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Score</w:t>
            </w:r>
          </w:p>
        </w:tc>
        <w:tc>
          <w:tcPr>
            <w:tcW w:type="dxa" w:w="26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Notes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8"/>
                <w:szCs w:val="18"/>
              </w:rPr>
              <w:t xml:space="preserve">As-is (no fixes)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DC2626"/>
                <w:sz w:val="18"/>
                <w:szCs w:val="18"/>
              </w:rPr>
              <w:t xml:space="preserve">4/10</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E293B"/>
                <w:sz w:val="18"/>
                <w:szCs w:val="18"/>
              </w:rPr>
              <w:t xml:space="preserve">Critical findings noticed immediately by technical audience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8"/>
                <w:szCs w:val="18"/>
              </w:rPr>
              <w:t xml:space="preserve">P0 fixes applied (C-001–C-003)</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D97706"/>
                <w:sz w:val="18"/>
                <w:szCs w:val="18"/>
              </w:rPr>
              <w:t xml:space="preserve">7/10</w:t>
            </w:r>
          </w:p>
        </w:tc>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iCs/>
                <w:color w:val="1E293B"/>
                <w:sz w:val="18"/>
                <w:szCs w:val="18"/>
              </w:rPr>
              <w:t xml:space="preserve">Demo-viable for a first pass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8"/>
                <w:szCs w:val="18"/>
              </w:rPr>
              <w:t xml:space="preserve">P0 + P1 fixes applied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8.5/10</w:t>
            </w:r>
          </w:p>
        </w:tc>
        <w:tc>
          <w:tcPr>
            <w:tcW w:type="dxa" w:w="26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iCs/>
                <w:color w:val="1E293B"/>
                <w:sz w:val="18"/>
                <w:szCs w:val="18"/>
              </w:rPr>
              <w:t xml:space="preserve">Presentation-ready for MIT faculty context</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8"/>
                <w:szCs w:val="18"/>
              </w:rPr>
              <w:t xml:space="preserve">Full remediation (all P tiers)</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center"/>
            </w:pPr>
            <w:r>
              <w:rPr>
                <w:rFonts w:ascii="Arial" w:cs="Arial" w:eastAsia="Arial" w:hAnsi="Arial"/>
                <w:b/>
                <w:bCs/>
                <w:i w:val="false"/>
                <w:iCs w:val="false"/>
                <w:color w:val="16A34A"/>
                <w:sz w:val="18"/>
                <w:szCs w:val="18"/>
              </w:rPr>
              <w:t xml:space="preserve">9/10</w:t>
            </w:r>
          </w:p>
        </w:tc>
        <w:tc>
          <w:tcPr>
            <w:tcW w:type="dxa" w:w="26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iCs/>
                <w:color w:val="1E293B"/>
                <w:sz w:val="18"/>
                <w:szCs w:val="18"/>
              </w:rPr>
              <w:t xml:space="preserve">Production-quality demo</w:t>
            </w:r>
          </w:p>
        </w:tc>
      </w:tr>
    </w:tbl>
    <w:p>
      <w:r>
        <w:br w:type="page"/>
      </w:r>
    </w:p>
    <w:p>
      <w:pPr>
        <w:pStyle w:val="Heading1"/>
        <w:pBdr>
          <w:bottom w:val="single" w:color="0EA5E9" w:sz="8" w:space="4"/>
        </w:pBdr>
        <w:spacing w:before="480" w:after="200"/>
      </w:pPr>
      <w:r>
        <w:rPr>
          <w:rFonts w:ascii="Arial" w:cs="Arial" w:eastAsia="Arial" w:hAnsi="Arial"/>
          <w:b/>
          <w:bCs/>
          <w:color w:val="0F172A"/>
          <w:sz w:val="36"/>
          <w:szCs w:val="36"/>
        </w:rPr>
        <w:t xml:space="preserve">B. Findings Table</w:t>
      </w:r>
    </w:p>
    <w:p>
      <w:pPr>
        <w:spacing w:before="60" w:after="200"/>
      </w:pPr>
      <w:r>
        <w:rPr>
          <w:rFonts w:ascii="Arial" w:cs="Arial" w:eastAsia="Arial" w:hAnsi="Arial"/>
          <w:b w:val="false"/>
          <w:bCs w:val="false"/>
          <w:color w:val="334155"/>
          <w:sz w:val="19"/>
          <w:szCs w:val="19"/>
        </w:rPr>
        <w:t xml:space="preserve">All findings include: ID, route, component, audit dimension, severity, description, evidence (file and line), impact assessment, fix effort estimate, and recommended fix path.</w:t>
      </w:r>
    </w:p>
    <w:p>
      <w:pPr>
        <w:pStyle w:val="Heading3"/>
        <w:spacing w:before="240" w:after="80"/>
      </w:pPr>
      <w:r>
        <w:rPr>
          <w:rFonts w:ascii="Arial" w:cs="Arial" w:eastAsia="Arial" w:hAnsi="Arial"/>
          <w:b/>
          <w:bCs/>
          <w:color w:val="334155"/>
          <w:sz w:val="22"/>
          <w:szCs w:val="22"/>
        </w:rPr>
        <w:t xml:space="preserve">B.1  Critical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1100"/>
        <w:gridCol w:w="900"/>
        <w:gridCol w:w="640"/>
        <w:gridCol w:w="1400"/>
        <w:gridCol w:w="1000"/>
        <w:gridCol w:w="800"/>
        <w:gridCol w:w="500"/>
        <w:gridCol w:w="640"/>
      </w:tblGrid>
      <w:tr>
        <w:trPr>
          <w:tblHeader/>
        </w:trPr>
        <w:tc>
          <w:tcPr>
            <w:tcW w:type="dxa" w:w="48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ID</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Route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Component</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Dimension</w:t>
            </w:r>
          </w:p>
        </w:tc>
        <w:tc>
          <w:tcPr>
            <w:tcW w:type="dxa" w:w="64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Severity</w:t>
            </w:r>
          </w:p>
        </w:tc>
        <w:tc>
          <w:tcPr>
            <w:tcW w:type="dxa" w:w="14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Description</w:t>
            </w:r>
          </w:p>
        </w:tc>
        <w:tc>
          <w:tcPr>
            <w:tcW w:type="dxa" w:w="10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Evidence</w:t>
            </w:r>
          </w:p>
        </w:tc>
        <w:tc>
          <w:tcPr>
            <w:tcW w:type="dxa" w:w="8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Impact</w:t>
            </w:r>
          </w:p>
        </w:tc>
        <w:tc>
          <w:tcPr>
            <w:tcW w:type="dxa" w:w="5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Effort</w:t>
            </w:r>
          </w:p>
        </w:tc>
        <w:tc>
          <w:tcPr>
            <w:tcW w:type="dxa" w:w="64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Fix Path</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C-001</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/protect/dispute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ProtectDispute.tsx L222</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Data coherence</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Critical</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Dispute letter body hardcodes $4,200 and MerchantX; transaction card above shows $2,847 / TechElectro Store.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L222: LETTER_TEMPLATE contains '$4,200.00' and 'MerchantX'</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Product contradicts its own data on the same screen.</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Replace 3 string literals with DEMO_THREAD.criticalAlert expressions.</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C-002</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/dashboard, /protect/alert-detail, protect-data.ts</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Dashboard.tsx; ProtectAlertDetail.tsx; protect-data.ts</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Data coherence</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Critical</w:t>
            </w:r>
          </w:p>
        </w:tc>
        <w:tc>
          <w:tcPr>
            <w:tcW w:type="dxa" w:w="1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3 files reference legacy 'MerchantX' / '$4,200' values. DEMO_THREAD canonical value is 'TechElectro Store' / $2,847.</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Dashboard activity feed; ProtectAlertDetail evidenceItems[1].details; protect-data signals[0].merchant</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 golden-path narrative breaks across pages.</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Global search for 'MerchantX'; update all 3 files to canonical DEMO_THREAD values.</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C-003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 /govern/audit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Govern.tsx; GovernAuditLedger.tsx</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Trust &amp; credibility</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Critical</w:t>
            </w:r>
          </w:p>
        </w:tc>
        <w:tc>
          <w:tcPr>
            <w:tcW w:type="dxa" w:w="1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'Verified: 93%' is mathematically false. 789/1247 = 63.3%. The figure 93% = 789/847 but is labeled against 1,247 total.</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Govern.tsx: '93%'; GovernAuditLedger filterTabs: 789+55+3=847 ≠ 1247</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Provably wrong compliance metric on the governance screen of a financial AI product.</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Correct to 63% or add denominator label 'of reviewed entries'.</w:t>
            </w:r>
          </w:p>
        </w:tc>
      </w:tr>
    </w:tbl>
    <w:p>
      <w:pPr>
        <w:spacing w:before="80" w:after="80"/>
      </w:pPr>
      <w:r>
        <w:t xml:space="preserve"/>
      </w:r>
    </w:p>
    <w:p>
      <w:pPr>
        <w:pStyle w:val="Heading3"/>
        <w:spacing w:before="240" w:after="80"/>
      </w:pPr>
      <w:r>
        <w:rPr>
          <w:rFonts w:ascii="Arial" w:cs="Arial" w:eastAsia="Arial" w:hAnsi="Arial"/>
          <w:b/>
          <w:bCs/>
          <w:color w:val="334155"/>
          <w:sz w:val="22"/>
          <w:szCs w:val="22"/>
        </w:rPr>
        <w:t xml:space="preserve">B.2  High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1100"/>
        <w:gridCol w:w="900"/>
        <w:gridCol w:w="560"/>
        <w:gridCol w:w="1420"/>
        <w:gridCol w:w="1000"/>
        <w:gridCol w:w="800"/>
        <w:gridCol w:w="500"/>
        <w:gridCol w:w="700"/>
      </w:tblGrid>
      <w:tr>
        <w:trPr>
          <w:tblHeader/>
        </w:trPr>
        <w:tc>
          <w:tcPr>
            <w:tcW w:type="dxa" w:w="48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ID</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Route</w:t>
            </w:r>
          </w:p>
        </w:tc>
        <w:tc>
          <w:tcPr>
            <w:tcW w:type="dxa" w:w="1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Component</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Dimension</w:t>
            </w:r>
          </w:p>
        </w:tc>
        <w:tc>
          <w:tcPr>
            <w:tcW w:type="dxa" w:w="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Severity</w:t>
            </w:r>
          </w:p>
        </w:tc>
        <w:tc>
          <w:tcPr>
            <w:tcW w:type="dxa" w:w="142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Description</w:t>
            </w:r>
          </w:p>
        </w:tc>
        <w:tc>
          <w:tcPr>
            <w:tcW w:type="dxa" w:w="10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Evidence</w:t>
            </w:r>
          </w:p>
        </w:tc>
        <w:tc>
          <w:tcPr>
            <w:tcW w:type="dxa" w:w="8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Impact</w:t>
            </w:r>
          </w:p>
        </w:tc>
        <w:tc>
          <w:tcPr>
            <w:tcW w:type="dxa" w:w="5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Effort</w:t>
            </w:r>
          </w:p>
        </w:tc>
        <w:tc>
          <w:tcPr>
            <w:tcW w:type="dxa" w:w="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Fix Path</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H-001</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Protect.tsx; rebuild-contracts.ts L544</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Brand consistency</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High</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GovernFooter auditId 'GV-2026-0215-PRT-SIG' while all other pages use 0216. Inconsistency originates in canonical source.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rebuild-contracts.ts L544: '0215-PRT-SIG'</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Governance audit date discrepancy on a governance-centric product.</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Change 0215 → 0216 in rebuild-contracts.ts L544.</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H-002</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/execute</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Execute.tsx action card</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Interaction quality</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High</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'Defer' button on every action card has no onClick handler. Core approve/defer workflow is 50% non-functional.</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&lt;button&gt;Defer&lt;/button&gt; — no onClick prop</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Half of the primary execution workflow is dead.</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Implement handleDefer(id) → status:'deferred'.</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H-003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/protect/alert-detail</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ProtectAlertDetail.tsx</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Interaction quality</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High</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'Request verification' button has no onClick. Secondary CTA in the critical alert detail flow is inoperable.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&lt;button&gt;Request verification&lt;/button&gt; — no onClick</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Second primary CTA produces no response.</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Navigate to /protect/dispute or show confirmation modal.</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H-004</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/onboarding (all 4 steps)</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OnboardingWelcome, Onboarding, OnboardingGoals, OnboardingConsent</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Onboarding journey</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High</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Contract requires progressRequired: true. None of the 4 steps renders any step indicator.</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rebuild-contracts.ts: ONBOARDING_FLOW_CONTRACT.sharedLayout.progressRequired = true</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Drop-off risk; contract violation visible to evaluators.</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Create shared &lt;OnboardingProgress /&gt; component. Add to all 4 steps.</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H-005</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/execute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Execute.tsx sidebar</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Data coherence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High</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Sidebar 'Completed today: 12' hardcoded; initial completed.length = 0.</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Sidebar data: { value: '12' } hardcoded; completed = actions.filter(a.status !== 'pending') = [] on load</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Sidebar contradicts main panel on initial render.</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Wire to completed.length + prior-session offset.</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H-006</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/execute, /execute/history</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Execute.tsx; ExecuteHistory.tsx</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Data coherence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High</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'Rollbacks (24h): 0' in Execute vs 'Reversed: 2' in ExecuteHistory. Same metric, different values.</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Execute sidebar: { label: 'Rollbacks (24h)', value: '0' }; ExecuteHistory: { label: 'Reversed', value: '2' }</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Rollback count changes when navigating the execute engine.</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Source both values from DEMO_THREAD; agree on canonical rollback count.</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H-007</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/protect/alert-detail, /protect/dispute</w:t>
            </w:r>
          </w:p>
        </w:tc>
        <w:tc>
          <w:tcPr>
            <w:tcW w:type="dxa" w:w="1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ProtectAlertDetail.tsx; protect-data.ts; ProtectDispute.tsx</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Data coherence / AI explainability</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High</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SHAP waterfall shown with 3 incompatible scale systems and label conventions across the protect flow.</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protect-data.ts: 0.0–1.0, raw labels; ProtectAlertDetail: 1.8–8.2, human labels; ProtectDispute: 0.0–1.0, third label set</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Breaks the AI explainability narrative for ML-literate audience.</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Create src/lib/protect-shap.ts with canonical representation. Import from all 3 locations.</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H-008</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w:t>
            </w:r>
          </w:p>
        </w:tc>
        <w:tc>
          <w:tcPr>
            <w:tcW w:type="dxa" w:w="1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Protect.tsx threat links</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Navigation / IA</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High</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All 5 threat cards link to same static '/protect/alert-detail'. No alertId parameter, no dynamic routing.</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threats.map(t =&gt; &lt;Link to='/protect/alert-detail'&gt;)</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Clicking any of 5 threats always loads THR-001 detail.</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/protect/alert-detail/:id route. Pass t.id from threat links.</w:t>
            </w:r>
          </w:p>
        </w:tc>
      </w:tr>
    </w:tbl>
    <w:p>
      <w:pPr>
        <w:spacing w:before="80" w:after="80"/>
      </w:pPr>
      <w:r>
        <w:t xml:space="preserve"/>
      </w:r>
    </w:p>
    <w:p>
      <w:pPr>
        <w:pStyle w:val="Heading3"/>
        <w:spacing w:before="240" w:after="80"/>
      </w:pPr>
      <w:r>
        <w:rPr>
          <w:rFonts w:ascii="Arial" w:cs="Arial" w:eastAsia="Arial" w:hAnsi="Arial"/>
          <w:b/>
          <w:bCs/>
          <w:color w:val="334155"/>
          <w:sz w:val="22"/>
          <w:szCs w:val="22"/>
        </w:rPr>
        <w:t xml:space="preserve">B.3  Medium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800"/>
        <w:gridCol w:w="1200"/>
        <w:gridCol w:w="900"/>
        <w:gridCol w:w="560"/>
        <w:gridCol w:w="1420"/>
        <w:gridCol w:w="1000"/>
        <w:gridCol w:w="700"/>
        <w:gridCol w:w="500"/>
        <w:gridCol w:w="800"/>
      </w:tblGrid>
      <w:tr>
        <w:trPr>
          <w:tblHeader/>
        </w:trPr>
        <w:tc>
          <w:tcPr>
            <w:tcW w:type="dxa" w:w="48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ID</w:t>
            </w:r>
          </w:p>
        </w:tc>
        <w:tc>
          <w:tcPr>
            <w:tcW w:type="dxa" w:w="8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Route</w:t>
            </w:r>
          </w:p>
        </w:tc>
        <w:tc>
          <w:tcPr>
            <w:tcW w:type="dxa" w:w="12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Component</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Dimension</w:t>
            </w:r>
          </w:p>
        </w:tc>
        <w:tc>
          <w:tcPr>
            <w:tcW w:type="dxa" w:w="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Severity</w:t>
            </w:r>
          </w:p>
        </w:tc>
        <w:tc>
          <w:tcPr>
            <w:tcW w:type="dxa" w:w="142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Description</w:t>
            </w:r>
          </w:p>
        </w:tc>
        <w:tc>
          <w:tcPr>
            <w:tcW w:type="dxa" w:w="10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Evidence</w:t>
            </w:r>
          </w:p>
        </w:tc>
        <w:tc>
          <w:tcPr>
            <w:tcW w:type="dxa" w:w="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Impact</w:t>
            </w:r>
          </w:p>
        </w:tc>
        <w:tc>
          <w:tcPr>
            <w:tcW w:type="dxa" w:w="5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Effort</w:t>
            </w:r>
          </w:p>
        </w:tc>
        <w:tc>
          <w:tcPr>
            <w:tcW w:type="dxa" w:w="8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Fix Path</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M-001</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All Tier 1-2 pages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GovernFooter (3 inline variants)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Brand consistency</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Medium</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GovernFooter has 3 incompatible inline implementations. Variant A (Execute): full with 'Verified' badge + human review. Variant B (Grow, Settings): minimal with Scale icon. Variant C (GovernAuditLedger): Variant A but 'Request human review' → /govern (wrong page).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Compare Execute.tsx vs Grow.tsx vs GovernAuditLedger.tsx GovernFooter blocks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Trust signal inconsistency across every engine page.</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Extract to src/components/poseidon/GovernFooter.tsx per CLAUDE.md.</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M-002</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/settings</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Settings.tsx</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Navigation / IA</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Medium</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'Review settings controls' primary CTA links to /settings — the current page. Self-referential, confirmed in rebuild-contracts.ts.</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Settings.tsx CTA: &lt;Link to='/settings'&gt;; rebuild-contracts.ts primaryActionPath: '/settings'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Evaluators clicking primary CTA go nowhere.</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Update to /settings/ai, /settings/integrations, or /help.</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M-003</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/404</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NotFound.tsx</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Navigation / IA</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Medium</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'Back to dashboard' links to '/' (landing page). Contract specifies primaryActionPath: '/dashboard'.</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NotFound.tsx: &lt;Link to='/'&gt;; rebuild-contracts.ts: primaryActionPath: '/dashboard'</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Users hitting 404 routed to marketing landing page instead of their dashboard.</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Change '/' to '/dashboard' in NotFound.tsx.</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M-004</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/dashboard</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Dashboard.tsx h1</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Copy quality</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Medium</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h1: 'working across 5 engines' but engineHealth array has 4 entries (Protect, Grow, Execute, Govern).</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Dashboard.tsx h1 copy vs engineHealth array length = 4</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Factual error in headline claim on the primary screen.</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Change '5' to '4' or add the 5th engine card.</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M-005</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 /govern, /govern/audit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AuroraPulse (inline)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Technical polish</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Medium</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AuroraPulse color prop uses hardcoded hex (#22C55E, #3B82F6) violating SCREEN_BLUEPRINTS.forbiddenPatterns = ['hardcoded-hex'].</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Protect.tsx: color='#22C55E'; Govern.tsx: color='#3B82F6'; Grow.tsx (correct): color='var(--engine-grow)'</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Token changes won't propagate to these pages.</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Replace hex with var(--engine-protect), var(--engine-govern).</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M-006</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 (data)</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protect-data.ts citations</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Trust &amp; credibility</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Medium</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Citations c1 and c3 both link to arxiv.org/abs/1705.07874 (same Shapley values paper) with different labels.</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protect-data.ts c1.url === c3.url === 'https://arxiv.org/abs/1705.07874'</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3 citations shown but only 2 distinct sources. Weakens academic credibility.</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Replace c3 with a distinct fraud detection paper.</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M-007</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/govern/audit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GovernAuditLedger.tsx</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Interaction quality</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Medium</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'Export CSV' and 'Export PDF' buttons have no onClick handlers.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&lt;button&gt;Export CSV&lt;/button&gt;, &lt;button&gt;Export PDF&lt;/button&gt; — no handler</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Standard audit export affordances non-functional.</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stub download handlers or 'Export initiated' toast.</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M-008</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 (data)</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protect-data.ts signals[0]</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Data coherence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Medium</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protect-data.ts signals[0].amount = '$4,200.00' conflicts with DEMO_THREAD.criticalAlert.amount = 2847.</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protect-data.ts: amount: '$4,200.00'; DEMO_THREAD: criticalAlert.amount = 2847</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Root data source for protect flow contains stale amount.</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Update protect-data.ts signals[0] to reference DEMO_THREAD.criticalAlert.</w:t>
            </w:r>
          </w:p>
        </w:tc>
      </w:tr>
    </w:tbl>
    <w:p>
      <w:pPr>
        <w:spacing w:before="80" w:after="80"/>
      </w:pPr>
      <w:r>
        <w:t xml:space="preserve"/>
      </w:r>
    </w:p>
    <w:p>
      <w:pPr>
        <w:pStyle w:val="Heading3"/>
        <w:spacing w:before="240" w:after="80"/>
      </w:pPr>
      <w:r>
        <w:rPr>
          <w:rFonts w:ascii="Arial" w:cs="Arial" w:eastAsia="Arial" w:hAnsi="Arial"/>
          <w:b/>
          <w:bCs/>
          <w:color w:val="334155"/>
          <w:sz w:val="22"/>
          <w:szCs w:val="22"/>
        </w:rPr>
        <w:t xml:space="preserve">B.4  Low Findings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900"/>
        <w:gridCol w:w="1200"/>
        <w:gridCol w:w="900"/>
        <w:gridCol w:w="560"/>
        <w:gridCol w:w="1420"/>
        <w:gridCol w:w="1000"/>
        <w:gridCol w:w="700"/>
        <w:gridCol w:w="500"/>
        <w:gridCol w:w="700"/>
      </w:tblGrid>
      <w:tr>
        <w:trPr>
          <w:tblHeader/>
        </w:trPr>
        <w:tc>
          <w:tcPr>
            <w:tcW w:type="dxa" w:w="48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ID</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Route</w:t>
            </w:r>
          </w:p>
        </w:tc>
        <w:tc>
          <w:tcPr>
            <w:tcW w:type="dxa" w:w="12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Component</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Dimension</w:t>
            </w:r>
          </w:p>
        </w:tc>
        <w:tc>
          <w:tcPr>
            <w:tcW w:type="dxa" w:w="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Severity</w:t>
            </w:r>
          </w:p>
        </w:tc>
        <w:tc>
          <w:tcPr>
            <w:tcW w:type="dxa" w:w="142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Description</w:t>
            </w:r>
          </w:p>
        </w:tc>
        <w:tc>
          <w:tcPr>
            <w:tcW w:type="dxa" w:w="10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Evidence</w:t>
            </w:r>
          </w:p>
        </w:tc>
        <w:tc>
          <w:tcPr>
            <w:tcW w:type="dxa" w:w="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Impact</w:t>
            </w:r>
          </w:p>
        </w:tc>
        <w:tc>
          <w:tcPr>
            <w:tcW w:type="dxa" w:w="5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Effort</w:t>
            </w:r>
          </w:p>
        </w:tc>
        <w:tc>
          <w:tcPr>
            <w:tcW w:type="dxa" w:w="7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Fix Path</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L-001</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/signup</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Signup.tsx</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Accessibility / interaction</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Low</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Form submit CTA is a &lt;Link&gt; not a &lt;button type='submit'&gt;. No onSubmit handler. Enter key does not submit. No client-side validation before navigation.</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Signup.tsx CTA: &lt;Link to='/onboarding/connect'&gt;; no &lt;form onSubmit&gt;</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Users can navigate past empty fields via Enter key.</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Wrap in &lt;form onSubmit&gt;, change CTA to &lt;button type='submit'&gt;, add field validation.</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L-002</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/govern/audit</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GovernAuditLedger.tsx filter tabs</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Data coherence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Low</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Filter tab totals: 789+55+3 = 847 ≠ 1,247 (DEMO_THREAD.decisionsAudited). 400 decisions unaccounted for.</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filterTabs: Verified=789, Pending=55, Flagged=3 → sum=847; decisionsAudited=1247</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Implicit claim that 400 decisions are not viewable in the ledger.</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'Auto-approved' tab (400 entries) or label 'Showing 847 reviewed of 1,247 audited'.</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L-003</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/grow, /execute/history</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Grow.tsx; ExecuteHistory.tsx</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Accessibility</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Low</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Both pages missing skip-to-content link. Execute.tsx includes one as a pattern.</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Grow.tsx: no skip link; Execute.tsx L90: skip link present</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Screen reader / keyboard users cannot bypass navigation header.</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&lt;a href='#main-content' className='sr-only focus:not-sr-only'&gt;Skip to main content&lt;/a&gt; at top of both files.</w:t>
            </w:r>
          </w:p>
        </w:tc>
      </w:tr>
      <w:tr>
        <w:tc>
          <w:tcPr>
            <w:tcW w:type="dxa" w:w="4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L-004</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/onboarding/goals</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OnboardingGoals.tsx</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Accessibility</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Low</w:t>
            </w:r>
          </w:p>
        </w:tc>
        <w:tc>
          <w:tcPr>
            <w:tcW w:type="dxa" w:w="14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'Continue' CTA Link is visually disabled (pointer-events: none, reduced opacity) but no aria-disabled or tabIndex, so keyboard users can activate it when no goals are selected.</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OnboardingGoals.tsx: style={{ pointerEvents: noGoals ? 'none' : 'auto' }} — no aria-disabled, no tabIndex change</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Keyboard users bypass goals requirement.</w:t>
            </w:r>
          </w:p>
        </w:tc>
        <w:tc>
          <w:tcPr>
            <w:tcW w:type="dxa" w:w="5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7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aria-disabled={noGoals} tabIndex={noGoals ? -1 : 0} to the Link.</w:t>
            </w:r>
          </w:p>
        </w:tc>
      </w:tr>
      <w:tr>
        <w:tc>
          <w:tcPr>
            <w:tcW w:type="dxa" w:w="4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6"/>
                <w:szCs w:val="16"/>
              </w:rPr>
              <w:t xml:space="preserve">L-005</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 /govern/audit</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Govern.tsx ledger preview; GovernAuditLedger.tsx</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Brand consistency</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Low</w:t>
            </w:r>
          </w:p>
        </w:tc>
        <w:tc>
          <w:tcPr>
            <w:tcW w:type="dxa" w:w="14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Govern.tsx ledger preview IDs: 'GV-847', 'GV-846'. GovernAuditLedger IDs: 'GV-2026-0216-847'. Same entries, different format.</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Govern.tsx: { id: 'GV-847' }; GovernAuditLedger: 'GV-2026-0216-847' format</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Minor visual inconsistency when drilling from /govern to /govern/audit.</w:t>
            </w:r>
          </w:p>
        </w:tc>
        <w:tc>
          <w:tcPr>
            <w:tcW w:type="dxa" w:w="5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XS</w:t>
            </w:r>
          </w:p>
        </w:tc>
        <w:tc>
          <w:tcPr>
            <w:tcW w:type="dxa" w:w="7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Update Govern.tsx ledger preview IDs to match full date-stamped format.</w:t>
            </w:r>
          </w:p>
        </w:tc>
      </w:tr>
    </w:tbl>
    <w:p>
      <w:pPr>
        <w:spacing w:before="80" w:after="80"/>
      </w:pPr>
      <w:r>
        <w:t xml:space="preserve"/>
      </w:r>
    </w:p>
    <w:p>
      <w:r>
        <w:br w:type="page"/>
      </w:r>
    </w:p>
    <w:p>
      <w:pPr>
        <w:pStyle w:val="Heading1"/>
        <w:pBdr>
          <w:bottom w:val="single" w:color="0EA5E9" w:sz="8" w:space="4"/>
        </w:pBdr>
        <w:spacing w:before="480" w:after="200"/>
      </w:pPr>
      <w:r>
        <w:rPr>
          <w:rFonts w:ascii="Arial" w:cs="Arial" w:eastAsia="Arial" w:hAnsi="Arial"/>
          <w:b/>
          <w:bCs/>
          <w:color w:val="0F172A"/>
          <w:sz w:val="36"/>
          <w:szCs w:val="36"/>
        </w:rPr>
        <w:t xml:space="preserve">C. Cross-Page Coherence Matrix</w:t>
      </w:r>
    </w:p>
    <w:p>
      <w:pPr>
        <w:spacing w:before="60" w:after="200"/>
      </w:pPr>
      <w:r>
        <w:rPr>
          <w:rFonts w:ascii="Arial" w:cs="Arial" w:eastAsia="Arial" w:hAnsi="Arial"/>
          <w:b w:val="false"/>
          <w:bCs w:val="false"/>
          <w:color w:val="334155"/>
          <w:sz w:val="19"/>
          <w:szCs w:val="19"/>
        </w:rPr>
        <w:t xml:space="preserve">Seven canonical values from DEMO_THREAD (sourced from rebuild-contracts.ts CROSS_SCREEN_DATA_THREAD) are tracked across all routes that display or compute them. Symbol key: ✓ = matches canonical | ✗ = contradicts canonical | ~ = partially correct | — = not applicable.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900"/>
        <w:gridCol w:w="640"/>
        <w:gridCol w:w="780"/>
        <w:gridCol w:w="820"/>
        <w:gridCol w:w="640"/>
        <w:gridCol w:w="780"/>
        <w:gridCol w:w="760"/>
        <w:gridCol w:w="560"/>
        <w:gridCol w:w="800"/>
        <w:gridCol w:w="580"/>
      </w:tblGrid>
      <w:tr>
        <w:trPr>
          <w:tblHeader/>
        </w:trPr>
        <w:tc>
          <w:tcPr>
            <w:tcW w:type="dxa" w:w="21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Data Thread Key</w:t>
            </w:r>
          </w:p>
        </w:tc>
        <w:tc>
          <w:tcPr>
            <w:tcW w:type="dxa" w:w="9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Canonical</w:t>
            </w:r>
          </w:p>
        </w:tc>
        <w:tc>
          <w:tcPr>
            <w:tcW w:type="dxa" w:w="64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Dashboard</w:t>
            </w:r>
          </w:p>
        </w:tc>
        <w:tc>
          <w:tcPr>
            <w:tcW w:type="dxa" w:w="78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Protect</w:t>
            </w:r>
          </w:p>
        </w:tc>
        <w:tc>
          <w:tcPr>
            <w:tcW w:type="dxa" w:w="82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/alert-detail</w:t>
            </w:r>
          </w:p>
        </w:tc>
        <w:tc>
          <w:tcPr>
            <w:tcW w:type="dxa" w:w="64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/dispute</w:t>
            </w:r>
          </w:p>
        </w:tc>
        <w:tc>
          <w:tcPr>
            <w:tcW w:type="dxa" w:w="78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Execute</w:t>
            </w:r>
          </w:p>
        </w:tc>
        <w:tc>
          <w:tcPr>
            <w:tcW w:type="dxa" w:w="7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Govern</w:t>
            </w:r>
          </w:p>
        </w:tc>
        <w:tc>
          <w:tcPr>
            <w:tcW w:type="dxa" w:w="5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/audit</w:t>
            </w:r>
          </w:p>
        </w:tc>
        <w:tc>
          <w:tcPr>
            <w:tcW w:type="dxa" w:w="8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Grow</w:t>
            </w:r>
          </w:p>
        </w:tc>
        <w:tc>
          <w:tcPr>
            <w:tcW w:type="dxa" w:w="58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/exec-hist</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systemConfidence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0.92</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decisionsAudited</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1,247</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complianceScore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96%</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pendingActions</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5</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monthlySavings</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$847/mo</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emergencyFund</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73%/$7,300</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5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criticalAlert.merchant</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TechElectro</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6"/>
                <w:szCs w:val="16"/>
              </w:rPr>
              <w:t xml:space="preserve">✗ MerchantX</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8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6"/>
                <w:szCs w:val="16"/>
              </w:rPr>
              <w:t xml:space="preserve">✗ MerchantX</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 Broken letter</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criticalAlert.amount</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$2,847</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8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 Calc $4,200</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D97706"/>
                <w:sz w:val="16"/>
                <w:szCs w:val="16"/>
              </w:rPr>
              <w:t xml:space="preserve">~ Broken letter</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criticalAlert.confidence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0.94</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8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Verified %</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63.3%</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6"/>
                <w:szCs w:val="16"/>
              </w:rPr>
              <w:t xml:space="preserve">✗ 93%</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6"/>
                <w:szCs w:val="16"/>
              </w:rPr>
              <w:t xml:space="preserve">✗ 93%</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r>
      <w:tr>
        <w:tc>
          <w:tcPr>
            <w:tcW w:type="dxa" w:w="21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GovernFooter date</w:t>
            </w:r>
          </w:p>
        </w:tc>
        <w:tc>
          <w:tcPr>
            <w:tcW w:type="dxa" w:w="9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0216</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6"/>
                <w:szCs w:val="16"/>
              </w:rPr>
              <w:t xml:space="preserve">✗ 0215</w:t>
            </w:r>
          </w:p>
        </w:tc>
        <w:tc>
          <w:tcPr>
            <w:tcW w:type="dxa" w:w="8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7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5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c>
          <w:tcPr>
            <w:tcW w:type="dxa" w:w="58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6A34A"/>
                <w:sz w:val="16"/>
                <w:szCs w:val="16"/>
              </w:rPr>
              <w:t xml:space="preserve">✓</w:t>
            </w:r>
          </w:p>
        </w:tc>
      </w:tr>
      <w:tr>
        <w:tc>
          <w:tcPr>
            <w:tcW w:type="dxa" w:w="21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Rollbacks 24h</w:t>
            </w:r>
          </w:p>
        </w:tc>
        <w:tc>
          <w:tcPr>
            <w:tcW w:type="dxa" w:w="9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334155"/>
                <w:sz w:val="16"/>
                <w:szCs w:val="16"/>
              </w:rPr>
              <w:t xml:space="preserve">conflict</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7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16"/>
                <w:szCs w:val="16"/>
              </w:rPr>
              <w:t xml:space="preserve">0 (main)</w:t>
            </w:r>
          </w:p>
        </w:tc>
        <w:tc>
          <w:tcPr>
            <w:tcW w:type="dxa" w:w="7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94A3B8"/>
                <w:sz w:val="16"/>
                <w:szCs w:val="16"/>
              </w:rPr>
              <w:t xml:space="preserve">—</w:t>
            </w:r>
          </w:p>
        </w:tc>
        <w:tc>
          <w:tcPr>
            <w:tcW w:type="dxa" w:w="58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334155"/>
                <w:sz w:val="16"/>
                <w:szCs w:val="16"/>
              </w:rPr>
              <w:t xml:space="preserve">2 (hist)</w:t>
            </w:r>
          </w:p>
        </w:tc>
      </w:tr>
    </w:tbl>
    <w:p>
      <w:pPr>
        <w:spacing w:before="80" w:after="80"/>
      </w:pPr>
      <w:r>
        <w:t xml:space="preserve"/>
      </w:r>
    </w:p>
    <w:p>
      <w:pPr>
        <w:spacing w:before="60" w:after="60"/>
      </w:pPr>
      <w:r>
        <w:rPr>
          <w:rFonts w:ascii="Arial" w:cs="Arial" w:eastAsia="Arial" w:hAnsi="Arial"/>
          <w:b w:val="false"/>
          <w:bCs w:val="false"/>
          <w:color w:val="334155"/>
          <w:sz w:val="18"/>
          <w:szCs w:val="18"/>
        </w:rPr>
        <w:t xml:space="preserve">Coherence summary: 8 of 14 tracked keys are fully coherent across all relevant routes. The criticalAlert.merchant and criticalAlert.amount keys are the primary failure vectors, manifesting on 3 routes each. The Verified % and auditId date keys each fail on 1–2 routes with a common root cause.</w:t>
      </w:r>
    </w:p>
    <w:p>
      <w:r>
        <w:br w:type="page"/>
      </w:r>
    </w:p>
    <w:p>
      <w:pPr>
        <w:pStyle w:val="Heading1"/>
        <w:pBdr>
          <w:bottom w:val="single" w:color="0EA5E9" w:sz="8" w:space="4"/>
        </w:pBdr>
        <w:spacing w:before="480" w:after="200"/>
      </w:pPr>
      <w:r>
        <w:rPr>
          <w:rFonts w:ascii="Arial" w:cs="Arial" w:eastAsia="Arial" w:hAnsi="Arial"/>
          <w:b/>
          <w:bCs/>
          <w:color w:val="0F172A"/>
          <w:sz w:val="36"/>
          <w:szCs w:val="36"/>
        </w:rPr>
        <w:t xml:space="preserve">D. Architecture and Technical Debt Assessment</w:t>
      </w:r>
    </w:p>
    <w:p>
      <w:pPr>
        <w:pStyle w:val="Heading2"/>
        <w:spacing w:before="320" w:after="120"/>
      </w:pPr>
      <w:r>
        <w:rPr>
          <w:rFonts w:ascii="Arial" w:cs="Arial" w:eastAsia="Arial" w:hAnsi="Arial"/>
          <w:b/>
          <w:bCs/>
          <w:color w:val="0F172A"/>
          <w:sz w:val="28"/>
          <w:szCs w:val="28"/>
        </w:rPr>
        <w:t xml:space="preserve">D.1  Canonical Data Flow</w:t>
      </w:r>
    </w:p>
    <w:p>
      <w:pPr>
        <w:spacing w:before="60" w:after="60"/>
      </w:pPr>
      <w:r>
        <w:rPr>
          <w:rFonts w:ascii="Arial" w:cs="Arial" w:eastAsia="Arial" w:hAnsi="Arial"/>
          <w:b w:val="false"/>
          <w:bCs w:val="false"/>
          <w:color w:val="334155"/>
          <w:sz w:val="19"/>
          <w:szCs w:val="19"/>
        </w:rPr>
        <w:t xml:space="preserve">Design intent: All cross-screen values originate in rebuild-contracts.ts → re-exported through src/lib/demo-thread.ts as DEMO_THREAD → consumed by page components. Actual state: the data flow is partially implemented.</w:t>
      </w:r>
    </w:p>
    <w:p>
      <w:pPr>
        <w:spacing w:before="80" w:after="80"/>
      </w:pPr>
      <w:r>
        <w:t xml:space="preserve"/>
      </w:r>
    </w:p>
    <w:p>
      <w:pPr>
        <w:spacing w:before="60" w:after="60"/>
      </w:pPr>
      <w:r>
        <w:rPr>
          <w:rFonts w:ascii="Arial" w:cs="Arial" w:eastAsia="Arial" w:hAnsi="Arial"/>
          <w:b w:val="false"/>
          <w:bCs w:val="false"/>
          <w:color w:val="334155"/>
          <w:sz w:val="18"/>
          <w:szCs w:val="18"/>
        </w:rPr>
        <w:t xml:space="preserve">Files correctly using DEMO_THREAD: Protect.tsx, Execute.tsx, Grow.tsx, Govern.tsx, ProtectDispute.tsx (transaction display), Dashboard.tsx (KPI section).</w:t>
      </w:r>
    </w:p>
    <w:p>
      <w:pPr>
        <w:spacing w:before="80" w:after="80"/>
      </w:pPr>
      <w:r>
        <w:t xml:space="preserve"/>
      </w:r>
    </w:p>
    <w:p>
      <w:pPr>
        <w:spacing w:before="60" w:after="60"/>
      </w:pPr>
      <w:r>
        <w:rPr>
          <w:rFonts w:ascii="Arial" w:cs="Arial" w:eastAsia="Arial" w:hAnsi="Arial"/>
          <w:b/>
          <w:bCs/>
          <w:color w:val="334155"/>
          <w:sz w:val="18"/>
          <w:szCs w:val="18"/>
        </w:rPr>
        <w:t xml:space="preserve">Files bypassing canonical source (migration gaps): protect-data.ts (stale signals[0]), Dashboard.tsx activity feed (hardcoded merchant), ProtectAlertDetail.tsx evidence items (hardcoded merchant), ProtectDispute.tsx letter body (hardcoded amounts).</w:t>
      </w:r>
    </w:p>
    <w:p>
      <w:pPr>
        <w:spacing w:before="80" w:after="80"/>
      </w:pPr>
      <w:r>
        <w:t xml:space="preserve"/>
      </w:r>
    </w:p>
    <w:p>
      <w:pPr>
        <w:spacing w:before="60" w:after="60"/>
      </w:pPr>
      <w:r>
        <w:rPr>
          <w:rFonts w:ascii="Arial" w:cs="Arial" w:eastAsia="Arial" w:hAnsi="Arial"/>
          <w:b w:val="false"/>
          <w:bCs w:val="false"/>
          <w:color w:val="334155"/>
          <w:sz w:val="18"/>
          <w:szCs w:val="18"/>
        </w:rPr>
        <w:t xml:space="preserve">Root cause: incomplete migration to DEMO_THREAD. Stale values were not purged from all files when the canonical merchant name was updated from 'MerchantX' to 'TechElectro Store'. Remediation: global search for 'MerchantX' across all source files.</w:t>
      </w:r>
    </w:p>
    <w:p>
      <w:pPr>
        <w:pStyle w:val="Heading2"/>
        <w:spacing w:before="320" w:after="120"/>
      </w:pPr>
      <w:r>
        <w:rPr>
          <w:rFonts w:ascii="Arial" w:cs="Arial" w:eastAsia="Arial" w:hAnsi="Arial"/>
          <w:b/>
          <w:bCs/>
          <w:color w:val="0F172A"/>
          <w:sz w:val="28"/>
          <w:szCs w:val="28"/>
        </w:rPr>
        <w:t xml:space="preserve">D.2  SCREEN_BLUEPRINTS.forbiddenPatterns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5960"/>
      </w:tblGrid>
      <w:tr>
        <w:trPr>
          <w:tblHeader/>
        </w:trPr>
        <w:tc>
          <w:tcPr>
            <w:tcW w:type="dxa" w:w="22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Pattern</w:t>
            </w:r>
          </w:p>
        </w:tc>
        <w:tc>
          <w:tcPr>
            <w:tcW w:type="dxa" w:w="12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Status</w:t>
            </w:r>
          </w:p>
        </w:tc>
        <w:tc>
          <w:tcPr>
            <w:tcW w:type="dxa" w:w="59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Notes</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7"/>
                <w:szCs w:val="17"/>
              </w:rPr>
              <w:t xml:space="preserve">single-file-self-contained</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97706"/>
                <w:sz w:val="17"/>
                <w:szCs w:val="17"/>
              </w:rPr>
              <w:t xml:space="preserve">Partial</w:t>
            </w:r>
          </w:p>
        </w:tc>
        <w:tc>
          <w:tcPr>
            <w:tcW w:type="dxa" w:w="5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v0 pages are self-contained by design per CLAUDE.md. This constraint appears to conflict with the v0 integration model — likely a legacy entry.</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7"/>
                <w:szCs w:val="17"/>
              </w:rPr>
              <w:t xml:space="preserve">all-data-inline</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DC2626"/>
                <w:sz w:val="17"/>
                <w:szCs w:val="17"/>
              </w:rPr>
              <w:t xml:space="preserve">Failing</w:t>
            </w:r>
          </w:p>
        </w:tc>
        <w:tc>
          <w:tcPr>
            <w:tcW w:type="dxa" w:w="5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Nearly every page defines local data arrays (queueActions, shapFactors, GOAL_KPIS) rather than importing from a shared data layer.</w:t>
            </w:r>
          </w:p>
        </w:tc>
      </w:tr>
      <w:tr>
        <w:tc>
          <w:tcPr>
            <w:tcW w:type="dxa" w:w="2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E293B"/>
                <w:sz w:val="17"/>
                <w:szCs w:val="17"/>
              </w:rPr>
              <w:t xml:space="preserve">style={{}}</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17"/>
                <w:szCs w:val="17"/>
              </w:rPr>
              <w:t xml:space="preserve">Failing</w:t>
            </w:r>
          </w:p>
        </w:tc>
        <w:tc>
          <w:tcPr>
            <w:tcW w:type="dxa" w:w="59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Inline style objects are pervasive across all pages. This appears to be an accepted pattern given the dark-theme glassmorphism design. The constraint is not enforced.</w:t>
            </w:r>
          </w:p>
        </w:tc>
      </w:tr>
      <w:tr>
        <w:tc>
          <w:tcPr>
            <w:tcW w:type="dxa" w:w="2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E293B"/>
                <w:sz w:val="17"/>
                <w:szCs w:val="17"/>
              </w:rPr>
              <w:t xml:space="preserve">hardcoded-hex</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DC2626"/>
                <w:sz w:val="17"/>
                <w:szCs w:val="17"/>
              </w:rPr>
              <w:t xml:space="preserve">Failing</w:t>
            </w:r>
          </w:p>
        </w:tc>
        <w:tc>
          <w:tcPr>
            <w:tcW w:type="dxa" w:w="59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At least 3 pages use hardcoded hex in AuroraPulse. Grow.tsx correctly uses var(--engine-grow). CI test in infra-integrity.test.ts should be audited.</w:t>
            </w:r>
          </w:p>
        </w:tc>
      </w:tr>
    </w:tbl>
    <w:p>
      <w:pPr>
        <w:pStyle w:val="Heading2"/>
        <w:spacing w:before="320" w:after="120"/>
      </w:pPr>
      <w:r>
        <w:rPr>
          <w:rFonts w:ascii="Arial" w:cs="Arial" w:eastAsia="Arial" w:hAnsi="Arial"/>
          <w:b/>
          <w:bCs/>
          <w:color w:val="0F172A"/>
          <w:sz w:val="28"/>
          <w:szCs w:val="28"/>
        </w:rPr>
        <w:t xml:space="preserve">D.3  GovernFooter Fragmentation</w:t>
      </w:r>
    </w:p>
    <w:p>
      <w:pPr>
        <w:spacing w:before="60" w:after="60"/>
      </w:pPr>
      <w:r>
        <w:rPr>
          <w:rFonts w:ascii="Arial" w:cs="Arial" w:eastAsia="Arial" w:hAnsi="Arial"/>
          <w:b w:val="false"/>
          <w:bCs w:val="false"/>
          <w:color w:val="334155"/>
          <w:sz w:val="19"/>
          <w:szCs w:val="19"/>
        </w:rPr>
        <w:t xml:space="preserve">The GovernFooter is the product's primary per-page trust signal. It appears on every Tier 1–2 page. Three distinct inline implementations exist:</w:t>
      </w:r>
    </w:p>
    <w:p>
      <w:pPr>
        <w:spacing w:before="80" w:after="80"/>
      </w:pPr>
      <w:r>
        <w:t xml:space="preserve"/>
      </w:r>
    </w:p>
    <w:p>
      <w:pPr>
        <w:spacing w:before="60" w:after="60"/>
      </w:pPr>
      <w:r>
        <w:rPr>
          <w:rFonts w:ascii="Arial" w:cs="Arial" w:eastAsia="Arial" w:hAnsi="Arial"/>
          <w:b/>
          <w:bCs/>
          <w:color w:val="334155"/>
          <w:sz w:val="18"/>
          <w:szCs w:val="18"/>
        </w:rPr>
        <w:t xml:space="preserve">Variant A (Execute, ProtectAlertDetail)</w:t>
      </w:r>
    </w:p>
    <w:p>
      <w:pPr>
        <w:spacing w:before="20" w:after="80"/>
      </w:pPr>
      <w:r>
        <w:rPr>
          <w:rFonts w:ascii="Arial" w:cs="Arial" w:eastAsia="Arial" w:hAnsi="Arial"/>
          <w:b w:val="false"/>
          <w:bCs w:val="false"/>
          <w:color w:val="334155"/>
          <w:sz w:val="18"/>
          <w:szCs w:val="18"/>
        </w:rPr>
        <w:t xml:space="preserve">Full: ShieldCheck icon + 'Verified' badge + 'Request human review' → /govern/audit</w:t>
      </w:r>
    </w:p>
    <w:p>
      <w:pPr>
        <w:spacing w:before="60" w:after="60"/>
      </w:pPr>
      <w:r>
        <w:rPr>
          <w:rFonts w:ascii="Arial" w:cs="Arial" w:eastAsia="Arial" w:hAnsi="Arial"/>
          <w:b/>
          <w:bCs/>
          <w:color w:val="334155"/>
          <w:sz w:val="18"/>
          <w:szCs w:val="18"/>
        </w:rPr>
        <w:t xml:space="preserve">Variant B (Grow, GrowScenarios, ExecuteHistory, Settings, Govern)</w:t>
      </w:r>
    </w:p>
    <w:p>
      <w:pPr>
        <w:spacing w:before="20" w:after="80"/>
      </w:pPr>
      <w:r>
        <w:rPr>
          <w:rFonts w:ascii="Arial" w:cs="Arial" w:eastAsia="Arial" w:hAnsi="Arial"/>
          <w:b w:val="false"/>
          <w:bCs w:val="false"/>
          <w:color w:val="334155"/>
          <w:sz w:val="18"/>
          <w:szCs w:val="18"/>
        </w:rPr>
        <w:t xml:space="preserve">Minimal: Scale icon + 'Open ledger' text link. No 'Verified' badge. No human review button.</w:t>
      </w:r>
    </w:p>
    <w:p>
      <w:pPr>
        <w:spacing w:before="60" w:after="60"/>
      </w:pPr>
      <w:r>
        <w:rPr>
          <w:rFonts w:ascii="Arial" w:cs="Arial" w:eastAsia="Arial" w:hAnsi="Arial"/>
          <w:b/>
          <w:bCs/>
          <w:color w:val="334155"/>
          <w:sz w:val="18"/>
          <w:szCs w:val="18"/>
        </w:rPr>
        <w:t xml:space="preserve">Variant C (GovernAuditLedger)</w:t>
      </w:r>
    </w:p>
    <w:p>
      <w:pPr>
        <w:spacing w:before="20" w:after="80"/>
      </w:pPr>
      <w:r>
        <w:rPr>
          <w:rFonts w:ascii="Arial" w:cs="Arial" w:eastAsia="Arial" w:hAnsi="Arial"/>
          <w:b w:val="false"/>
          <w:bCs w:val="false"/>
          <w:color w:val="334155"/>
          <w:sz w:val="18"/>
          <w:szCs w:val="18"/>
        </w:rPr>
        <w:t xml:space="preserve">Variant A markup but 'Request human review' → /govern (incorrect: already on audit page)</w:t>
      </w:r>
    </w:p>
    <w:p>
      <w:pPr>
        <w:spacing w:before="60" w:after="60"/>
      </w:pPr>
      <w:r>
        <w:rPr>
          <w:rFonts w:ascii="Arial" w:cs="Arial" w:eastAsia="Arial" w:hAnsi="Arial"/>
          <w:b w:val="false"/>
          <w:bCs w:val="false"/>
          <w:color w:val="334155"/>
          <w:sz w:val="18"/>
          <w:szCs w:val="18"/>
        </w:rPr>
        <w:t xml:space="preserve">CLAUDE.md explicitly states GovernFooter should be imported from '@/components/poseidon'. ProtectDispute.tsx uniquely does this correctly. All other pages inline their own version. A trust signal that renders differently on each page communicates inconsistency — particularly damaging for a governance-focused product.</w:t>
      </w:r>
    </w:p>
    <w:p>
      <w:pPr>
        <w:pStyle w:val="Heading2"/>
        <w:spacing w:before="320" w:after="120"/>
      </w:pPr>
      <w:r>
        <w:rPr>
          <w:rFonts w:ascii="Arial" w:cs="Arial" w:eastAsia="Arial" w:hAnsi="Arial"/>
          <w:b/>
          <w:bCs/>
          <w:color w:val="0F172A"/>
          <w:sz w:val="28"/>
          <w:szCs w:val="28"/>
        </w:rPr>
        <w:t xml:space="preserve">D.4  SHAP Visualization Fragmentation</w:t>
      </w:r>
    </w:p>
    <w:p>
      <w:pPr>
        <w:spacing w:before="60" w:after="60"/>
      </w:pPr>
      <w:r>
        <w:rPr>
          <w:rFonts w:ascii="Arial" w:cs="Arial" w:eastAsia="Arial" w:hAnsi="Arial"/>
          <w:b w:val="false"/>
          <w:bCs w:val="false"/>
          <w:color w:val="334155"/>
          <w:sz w:val="19"/>
          <w:szCs w:val="19"/>
        </w:rPr>
        <w:t xml:space="preserve">SHAP waterfall charts appear on three screens in the protect flow and should present a unified model explanation: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rPr>
          <w:tblHeader/>
        </w:trPr>
        <w:tc>
          <w:tcPr>
            <w:tcW w:type="dxa" w:w="24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Location</w:t>
            </w:r>
          </w:p>
        </w:tc>
        <w:tc>
          <w:tcPr>
            <w:tcW w:type="dxa" w:w="12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Scale</w:t>
            </w:r>
          </w:p>
        </w:tc>
        <w:tc>
          <w:tcPr>
            <w:tcW w:type="dxa" w:w="24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Label Style</w:t>
            </w:r>
          </w:p>
        </w:tc>
        <w:tc>
          <w:tcPr>
            <w:tcW w:type="dxa" w:w="336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Example Labels</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protect-data.ts shapFactors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0.0–1.0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Raw ML field names</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merchant_days_since_registration, velocity_score</w:t>
            </w:r>
          </w:p>
        </w:tc>
      </w:tr>
      <w:tr>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7"/>
                <w:szCs w:val="17"/>
              </w:rPr>
              <w:t xml:space="preserve">ProtectAlertDetail.tsx shapFactors</w:t>
            </w:r>
          </w:p>
        </w:tc>
        <w:tc>
          <w:tcPr>
            <w:tcW w:type="dxa" w:w="12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7"/>
                <w:szCs w:val="17"/>
              </w:rPr>
              <w:t xml:space="preserve">1.8–8.2</w:t>
            </w:r>
          </w:p>
        </w:tc>
        <w:tc>
          <w:tcPr>
            <w:tcW w:type="dxa" w:w="24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7"/>
                <w:szCs w:val="17"/>
              </w:rPr>
              <w:t xml:space="preserve">Human-readable, different set</w:t>
            </w:r>
          </w:p>
        </w:tc>
        <w:tc>
          <w:tcPr>
            <w:tcW w:type="dxa" w:w="336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DC2626"/>
                <w:sz w:val="17"/>
                <w:szCs w:val="17"/>
              </w:rPr>
              <w:t xml:space="preserve">Transaction velocity, Geo anomaly, Device fingerprint</w:t>
            </w:r>
          </w:p>
        </w:tc>
      </w:tr>
      <w:tr>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ProtectDispute.tsx shapItems</w:t>
            </w:r>
          </w:p>
        </w:tc>
        <w:tc>
          <w:tcPr>
            <w:tcW w:type="dxa" w:w="12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0.0–1.0</w:t>
            </w:r>
          </w:p>
        </w:tc>
        <w:tc>
          <w:tcPr>
            <w:tcW w:type="dxa" w:w="24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Human-readable, third set</w:t>
            </w:r>
          </w:p>
        </w:tc>
        <w:tc>
          <w:tcPr>
            <w:tcW w:type="dxa" w:w="336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7"/>
                <w:szCs w:val="17"/>
              </w:rPr>
              <w:t xml:space="preserve">Merchant history, Amount deviation, Time pattern</w:t>
            </w:r>
          </w:p>
        </w:tc>
      </w:tr>
    </w:tbl>
    <w:p>
      <w:pPr>
        <w:spacing w:before="80" w:after="80"/>
      </w:pPr>
      <w:r>
        <w:t xml:space="preserve"/>
      </w:r>
    </w:p>
    <w:p>
      <w:pPr>
        <w:spacing w:before="60" w:after="60"/>
      </w:pPr>
      <w:r>
        <w:rPr>
          <w:rFonts w:ascii="Arial" w:cs="Arial" w:eastAsia="Arial" w:hAnsi="Arial"/>
          <w:b w:val="false"/>
          <w:bCs w:val="false"/>
          <w:color w:val="334155"/>
          <w:sz w:val="18"/>
          <w:szCs w:val="18"/>
        </w:rPr>
        <w:t xml:space="preserve">Three representations of the same SHAP model for the same transaction. An ML-literate reviewer will recognize these as incompatible. Recommendation: create src/lib/protect-shap.ts as a canonical source imported by all three files.</w:t>
      </w:r>
    </w:p>
    <w:p>
      <w:pPr>
        <w:pStyle w:val="Heading2"/>
        <w:spacing w:before="320" w:after="120"/>
      </w:pPr>
      <w:r>
        <w:rPr>
          <w:rFonts w:ascii="Arial" w:cs="Arial" w:eastAsia="Arial" w:hAnsi="Arial"/>
          <w:b/>
          <w:bCs/>
          <w:color w:val="0F172A"/>
          <w:sz w:val="28"/>
          <w:szCs w:val="28"/>
        </w:rPr>
        <w:t xml:space="preserve">D.5  Motion Preset Duplication</w:t>
      </w:r>
    </w:p>
    <w:p>
      <w:pPr>
        <w:spacing w:before="60" w:after="60"/>
      </w:pPr>
      <w:r>
        <w:rPr>
          <w:rFonts w:ascii="Arial" w:cs="Arial" w:eastAsia="Arial" w:hAnsi="Arial"/>
          <w:b w:val="false"/>
          <w:bCs w:val="false"/>
          <w:color w:val="334155"/>
          <w:sz w:val="19"/>
          <w:szCs w:val="19"/>
        </w:rPr>
        <w:t xml:space="preserve">CLAUDE.md mandates: const { fadeUp, staggerContainer } from '@/lib/motion-presets' — local definition prohibited. ProtectDispute.tsx uniquely imports from @/lib/motion-presets as required. All other pages define their own local constants. Low risk (functionally equivalent) but means motion system changes will only auto-propagate to ProtectDispute.tsx.</w:t>
      </w:r>
    </w:p>
    <w:p>
      <w:pPr>
        <w:pStyle w:val="Heading2"/>
        <w:spacing w:before="320" w:after="120"/>
      </w:pPr>
      <w:r>
        <w:rPr>
          <w:rFonts w:ascii="Arial" w:cs="Arial" w:eastAsia="Arial" w:hAnsi="Arial"/>
          <w:b/>
          <w:bCs/>
          <w:color w:val="0F172A"/>
          <w:sz w:val="28"/>
          <w:szCs w:val="28"/>
        </w:rPr>
        <w:t xml:space="preserve">D.6  Dynamic Routing Gap</w:t>
      </w:r>
    </w:p>
    <w:p>
      <w:pPr>
        <w:spacing w:before="60" w:after="60"/>
      </w:pPr>
      <w:r>
        <w:rPr>
          <w:rFonts w:ascii="Arial" w:cs="Arial" w:eastAsia="Arial" w:hAnsi="Arial"/>
          <w:b w:val="false"/>
          <w:bCs w:val="false"/>
          <w:color w:val="334155"/>
          <w:sz w:val="19"/>
          <w:szCs w:val="19"/>
        </w:rPr>
        <w:t xml:space="preserve">/protect/alert-detail is a static route with no ID parameter. The router in src/router/lazyRoutes.ts would need updating to support /protect/alert-detail/:id. If the demo only surfaces THR-001 the static route is acceptable, but the five-threat display in Protect.tsx implies scenario variety the routing cannot deliver.</w:t>
      </w:r>
    </w:p>
    <w:p>
      <w:r>
        <w:br w:type="page"/>
      </w:r>
    </w:p>
    <w:p>
      <w:pPr>
        <w:pStyle w:val="Heading1"/>
        <w:pBdr>
          <w:bottom w:val="single" w:color="0EA5E9" w:sz="8" w:space="4"/>
        </w:pBdr>
        <w:spacing w:before="480" w:after="200"/>
      </w:pPr>
      <w:r>
        <w:rPr>
          <w:rFonts w:ascii="Arial" w:cs="Arial" w:eastAsia="Arial" w:hAnsi="Arial"/>
          <w:b/>
          <w:bCs/>
          <w:color w:val="0F172A"/>
          <w:sz w:val="36"/>
          <w:szCs w:val="36"/>
        </w:rPr>
        <w:t xml:space="preserve">E. Prioritized Action Plan</w:t>
      </w:r>
    </w:p>
    <w:p>
      <w:pPr>
        <w:spacing w:before="60" w:after="200"/>
      </w:pPr>
      <w:r>
        <w:rPr>
          <w:rFonts w:ascii="Arial" w:cs="Arial" w:eastAsia="Arial" w:hAnsi="Arial"/>
          <w:b w:val="false"/>
          <w:bCs w:val="false"/>
          <w:color w:val="334155"/>
          <w:sz w:val="19"/>
          <w:szCs w:val="19"/>
        </w:rPr>
        <w:t xml:space="preserve">Actions are sequenced by demo impact. P0 must be resolved before any external presentation. P1 should be resolved before formal evaluation. P2 and P3 can be addressed iteratively.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40"/>
        <w:gridCol w:w="800"/>
        <w:gridCol w:w="2000"/>
        <w:gridCol w:w="1000"/>
        <w:gridCol w:w="4920"/>
      </w:tblGrid>
      <w:tr>
        <w:trPr>
          <w:tblHeader/>
        </w:trPr>
        <w:tc>
          <w:tcPr>
            <w:tcW w:type="dxa" w:w="64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Tier</w:t>
            </w:r>
          </w:p>
        </w:tc>
        <w:tc>
          <w:tcPr>
            <w:tcW w:type="dxa" w:w="8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Finding IDs</w:t>
            </w:r>
          </w:p>
        </w:tc>
        <w:tc>
          <w:tcPr>
            <w:tcW w:type="dxa" w:w="20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Action</w:t>
            </w:r>
          </w:p>
        </w:tc>
        <w:tc>
          <w:tcPr>
            <w:tcW w:type="dxa" w:w="100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Effort</w:t>
            </w:r>
          </w:p>
        </w:tc>
        <w:tc>
          <w:tcPr>
            <w:tcW w:type="dxa" w:w="4920"/>
            <w:tcBorders>
              <w:top w:val="single" w:color="CBD5E1" w:sz="4"/>
              <w:left w:val="single" w:color="CBD5E1" w:sz="4"/>
              <w:bottom w:val="single" w:color="CBD5E1" w:sz="4"/>
              <w:right w:val="single" w:color="CBD5E1" w:sz="4"/>
            </w:tcBorders>
            <w:shd w:fill="1E293B" w:val="clear"/>
            <w:tcMar>
              <w:top w:type="dxa" w:w="80"/>
              <w:left w:type="dxa" w:w="120"/>
              <w:bottom w:type="dxa" w:w="80"/>
              <w:right w:type="dxa" w:w="120"/>
            </w:tcMar>
          </w:tcPr>
          <w:p>
            <w:pPr>
              <w:jc w:val="left"/>
            </w:pPr>
            <w:r>
              <w:rPr>
                <w:rFonts w:ascii="Arial" w:cs="Arial" w:eastAsia="Arial" w:hAnsi="Arial"/>
                <w:b/>
                <w:bCs/>
                <w:i w:val="false"/>
                <w:iCs w:val="false"/>
                <w:color w:val="F1F5F9"/>
                <w:sz w:val="17"/>
                <w:szCs w:val="17"/>
              </w:rPr>
              <w:t xml:space="preserve">Implementation Notes</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C2626"/>
                <w:sz w:val="16"/>
                <w:szCs w:val="16"/>
              </w:rPr>
              <w:t xml:space="preserve">P0</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C-001, C-002</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Purge all 'MerchantX' references; replace with DEMO_THREAD values in Dashboard, ProtectAlertDetail, ProtectDispute, protect-data.ts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2 hrs</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Global search for 'MerchantX'; replace with DEMO_THREAD.criticalAlert.merchant or literal 'TechElectro Store'. Simultaneously replace $4,200 → DEMO_THREAD.criticalAlert.amount.</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DC2626"/>
                <w:sz w:val="16"/>
                <w:szCs w:val="16"/>
              </w:rPr>
              <w:t xml:space="preserve">P0</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C-003</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Fix Govern 'Verified: 93%' math error</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1 hr</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Correct to 63% (789/1247) or change denominator label to 'of reviewed entries' (789/847). Update both /govern and /govern/audit. Optionally add 'Auto-approved' tab to reconcile filter totals to 1,247.</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97706"/>
                <w:sz w:val="16"/>
                <w:szCs w:val="16"/>
              </w:rPr>
              <w:t xml:space="preserve">P1</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H-004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onboarding progress indicator to all 4 steps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3 hrs</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Create shared &lt;OnboardingProgress step={n} total={4} /&gt; component. Add to OnboardingWelcome, Onboarding (connect), OnboardingGoals, OnboardingConsent.</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D97706"/>
                <w:sz w:val="16"/>
                <w:szCs w:val="16"/>
              </w:rPr>
              <w:t xml:space="preserve">P1</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H-002</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Implement Execute 'Defer' button action</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2 hrs</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handleDefer(id) → status:'deferred'. Add 'deferred' to ActionStatus type. Show deferred items in a separate section below completed.</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97706"/>
                <w:sz w:val="16"/>
                <w:szCs w:val="16"/>
              </w:rPr>
              <w:t xml:space="preserve">P1</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H-001</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Fix Protect audit date in canonical source</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0.5 hrs</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Change rebuild-contracts.ts line 544 from GV-2026-0215-PRT-SIG to GV-2026-0216-PRT-SIG.</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D97706"/>
                <w:sz w:val="16"/>
                <w:szCs w:val="16"/>
              </w:rPr>
              <w:t xml:space="preserve">P1</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H-007</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Unify SHAP representation across protect flow</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3 hrs</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Create src/lib/protect-shap.ts with canonical shapFactors. Import from protect-data.ts, ProtectAlertDetail.tsx, ProtectDispute.tsx. Use 0.0–1.0 scale with human-readable labels.</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D97706"/>
                <w:sz w:val="16"/>
                <w:szCs w:val="16"/>
              </w:rPr>
              <w:t xml:space="preserve">P1</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H-003</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Implement 'Request verification' action</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1 hr</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onClick to ProtectAlertDetail 'Request verification' button: navigate to /protect/dispute or display confirmation modal.</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D97706"/>
                <w:sz w:val="16"/>
                <w:szCs w:val="16"/>
              </w:rPr>
              <w:t xml:space="preserve">P1</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H-008</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dynamic routing to alert detail</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2 hrs</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/protect/alert-detail/:id route. Pass alert ID from Protect.tsx threat links. Fallback to THR-001 for demo IDs not in data set.</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563EB"/>
                <w:sz w:val="16"/>
                <w:szCs w:val="16"/>
              </w:rPr>
              <w:t xml:space="preserve">P2</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M-001</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Extract GovernFooter to shared poseidon component</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3 hrs</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Create src/components/poseidon/GovernFooter.tsx. Import in all 8+ pages. Eliminates 3-variant inconsistency.</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2563EB"/>
                <w:sz w:val="16"/>
                <w:szCs w:val="16"/>
              </w:rPr>
              <w:t xml:space="preserve">P2</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M-003</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Fix NotFound CTA destination</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0.25 hrs</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Change '/' to '/dashboard' in NotFound.tsx.</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563EB"/>
                <w:sz w:val="16"/>
                <w:szCs w:val="16"/>
              </w:rPr>
              <w:t xml:space="preserve">P2</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M-004</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Correct Dashboard h1 engine count</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0.25 hrs</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Change '5 engines' to '4 engines' or add the 5th engine card.</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2563EB"/>
                <w:sz w:val="16"/>
                <w:szCs w:val="16"/>
              </w:rPr>
              <w:t xml:space="preserve">P2</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H-005, H-006</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Align Execute completion / rollback counts</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1 hr</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Wire 'Completed today' to state. Align rollback counts between Execute and ExecuteHistory.</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2563EB"/>
                <w:sz w:val="16"/>
                <w:szCs w:val="16"/>
              </w:rPr>
              <w:t xml:space="preserve">P2</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M-005</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Replace AuroraPulse hardcoded hex with CSS variables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0.5 hrs</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Protect.tsx, Govern.tsx, GovernAuditLedger.tsx: replace #22C55E/#3B82F6 with var(--engine-*).</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2563EB"/>
                <w:sz w:val="16"/>
                <w:szCs w:val="16"/>
              </w:rPr>
              <w:t xml:space="preserve">P2</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M-007</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Export button stubs in GovernAuditLedger</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1 hr</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Implement CSV/PDF export handlers or toast messages.</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16"/>
                <w:szCs w:val="16"/>
              </w:rPr>
              <w:t xml:space="preserve">P3</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L-001</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Fix Signup form submit behavior</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1 hr</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Wrap in &lt;form&gt;, change CTA to &lt;button type='submit'&gt;, add validation.</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6A34A"/>
                <w:sz w:val="16"/>
                <w:szCs w:val="16"/>
              </w:rPr>
              <w:t xml:space="preserve">P3</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L-002</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Align GovernAuditLedger filter totals</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0.5 hrs</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'Auto-approved' tab or explanatory label to account for 1,247 - 847 = 400 entries.</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16"/>
                <w:szCs w:val="16"/>
              </w:rPr>
              <w:t xml:space="preserve">P3</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L-003</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skip-to-content links to Grow and ExecuteHistory</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0.5 hrs</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1-line addition at top of each file.</w:t>
            </w:r>
          </w:p>
        </w:tc>
      </w:tr>
      <w:tr>
        <w:tc>
          <w:tcPr>
            <w:tcW w:type="dxa" w:w="64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bCs/>
                <w:i w:val="false"/>
                <w:iCs w:val="false"/>
                <w:color w:val="16A34A"/>
                <w:sz w:val="16"/>
                <w:szCs w:val="16"/>
              </w:rPr>
              <w:t xml:space="preserve">P3</w:t>
            </w:r>
          </w:p>
        </w:tc>
        <w:tc>
          <w:tcPr>
            <w:tcW w:type="dxa" w:w="8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L-004, L-005</w:t>
            </w:r>
          </w:p>
        </w:tc>
        <w:tc>
          <w:tcPr>
            <w:tcW w:type="dxa" w:w="2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Fix OnboardingGoals disabled-state a11y; align ledger ID formats</w:t>
            </w:r>
          </w:p>
        </w:tc>
        <w:tc>
          <w:tcPr>
            <w:tcW w:type="dxa" w:w="100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1 hr</w:t>
            </w:r>
          </w:p>
        </w:tc>
        <w:tc>
          <w:tcPr>
            <w:tcW w:type="dxa" w:w="4920"/>
            <w:tcBorders>
              <w:top w:val="single" w:color="CBD5E1" w:sz="4"/>
              <w:left w:val="single" w:color="CBD5E1" w:sz="4"/>
              <w:bottom w:val="single" w:color="CBD5E1" w:sz="4"/>
              <w:right w:val="single" w:color="CBD5E1" w:sz="4"/>
            </w:tcBorders>
            <w:shd w:fill="F8FAFC"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Add aria-disabled + tabIndex to disabled Link. Align Govern short IDs to full date-stamped format.</w:t>
            </w:r>
          </w:p>
        </w:tc>
      </w:tr>
      <w:tr>
        <w:tc>
          <w:tcPr>
            <w:tcW w:type="dxa" w:w="64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bCs/>
                <w:i w:val="false"/>
                <w:iCs w:val="false"/>
                <w:color w:val="16A34A"/>
                <w:sz w:val="16"/>
                <w:szCs w:val="16"/>
              </w:rPr>
              <w:t xml:space="preserve">P3</w:t>
            </w:r>
          </w:p>
        </w:tc>
        <w:tc>
          <w:tcPr>
            <w:tcW w:type="dxa" w:w="8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w:t>
            </w:r>
          </w:p>
        </w:tc>
        <w:tc>
          <w:tcPr>
            <w:tcW w:type="dxa" w:w="2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Migrate all pages to shared motion presets from @/lib/motion-presets</w:t>
            </w:r>
          </w:p>
        </w:tc>
        <w:tc>
          <w:tcPr>
            <w:tcW w:type="dxa" w:w="100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2 hrs</w:t>
            </w:r>
          </w:p>
        </w:tc>
        <w:tc>
          <w:tcPr>
            <w:tcW w:type="dxa" w:w="4920"/>
            <w:tcBorders>
              <w:top w:val="single" w:color="CBD5E1" w:sz="4"/>
              <w:left w:val="single" w:color="CBD5E1" w:sz="4"/>
              <w:bottom w:val="single" w:color="CBD5E1" w:sz="4"/>
              <w:right w:val="single" w:color="CBD5E1" w:sz="4"/>
            </w:tcBorders>
            <w:shd w:fill="FFFFFF" w:val="clear"/>
            <w:tcMar>
              <w:top w:type="dxa" w:w="80"/>
              <w:left w:type="dxa" w:w="120"/>
              <w:bottom w:type="dxa" w:w="80"/>
              <w:right w:type="dxa" w:w="120"/>
            </w:tcMar>
          </w:tcPr>
          <w:p>
            <w:pPr>
              <w:jc w:val="left"/>
            </w:pPr>
            <w:r>
              <w:rPr>
                <w:rFonts w:ascii="Arial" w:cs="Arial" w:eastAsia="Arial" w:hAnsi="Arial"/>
                <w:b w:val="false"/>
                <w:bCs w:val="false"/>
                <w:i w:val="false"/>
                <w:iCs w:val="false"/>
                <w:color w:val="1E293B"/>
                <w:sz w:val="16"/>
                <w:szCs w:val="16"/>
              </w:rPr>
              <w:t xml:space="preserve">Replace local fadeUp/staggerContainer definitions with imports. CLAUDE.md compliance.</w:t>
            </w:r>
          </w:p>
        </w:tc>
      </w:tr>
    </w:tbl>
    <w:p>
      <w:r>
        <w:br w:type="page"/>
      </w:r>
    </w:p>
    <w:p>
      <w:pPr>
        <w:pStyle w:val="Heading1"/>
        <w:pBdr>
          <w:bottom w:val="single" w:color="0EA5E9" w:sz="8" w:space="4"/>
        </w:pBdr>
        <w:spacing w:before="480" w:after="200"/>
      </w:pPr>
      <w:r>
        <w:rPr>
          <w:rFonts w:ascii="Arial" w:cs="Arial" w:eastAsia="Arial" w:hAnsi="Arial"/>
          <w:b/>
          <w:bCs/>
          <w:color w:val="0F172A"/>
          <w:sz w:val="36"/>
          <w:szCs w:val="36"/>
        </w:rPr>
        <w:t xml:space="preserve">F. Verification Checklist</w:t>
      </w:r>
    </w:p>
    <w:p>
      <w:pPr>
        <w:spacing w:before="60" w:after="100"/>
      </w:pPr>
      <w:r>
        <w:rPr>
          <w:rFonts w:ascii="Arial" w:cs="Arial" w:eastAsia="Arial" w:hAnsi="Arial"/>
          <w:b w:val="false"/>
          <w:bCs w:val="false"/>
          <w:color w:val="334155"/>
          <w:sz w:val="19"/>
          <w:szCs w:val="19"/>
        </w:rPr>
        <w:t xml:space="preserve">Use this checklist after applying fixes to confirm each issue is resolved. Items are sequenced by golden-path order.</w:t>
      </w:r>
    </w:p>
    <w:p>
      <w:pPr>
        <w:pStyle w:val="Heading3"/>
        <w:spacing w:before="240" w:after="80"/>
      </w:pPr>
      <w:r>
        <w:rPr>
          <w:rFonts w:ascii="Arial" w:cs="Arial" w:eastAsia="Arial" w:hAnsi="Arial"/>
          <w:b/>
          <w:bCs/>
          <w:color w:val="334155"/>
          <w:sz w:val="22"/>
          <w:szCs w:val="22"/>
        </w:rPr>
        <w:t xml:space="preserve">F.1  Pre-Demo Validation (P0 Fixes — Protect + Govern Golden Path)</w:t>
      </w:r>
    </w:p>
    <w:p>
      <w:pPr>
        <w:pStyle w:val="ListParagraph"/>
        <w:numPr>
          <w:ilvl w:val="0"/>
          <w:numId w:val="2"/>
        </w:numPr>
        <w:spacing w:before="40" w:after="40"/>
      </w:pPr>
      <w:r>
        <w:rPr>
          <w:rFonts w:ascii="Arial" w:cs="Arial" w:eastAsia="Arial" w:hAnsi="Arial"/>
          <w:color w:val="334155"/>
          <w:sz w:val="19"/>
          <w:szCs w:val="19"/>
        </w:rPr>
        <w:t xml:space="preserve">/protect — Main threat card shows 'TechElectro Store' and '$2,847' in the threat summary</w:t>
      </w:r>
    </w:p>
    <w:p>
      <w:pPr>
        <w:pStyle w:val="ListParagraph"/>
        <w:numPr>
          <w:ilvl w:val="0"/>
          <w:numId w:val="2"/>
        </w:numPr>
        <w:spacing w:before="40" w:after="40"/>
      </w:pPr>
      <w:r>
        <w:rPr>
          <w:rFonts w:ascii="Arial" w:cs="Arial" w:eastAsia="Arial" w:hAnsi="Arial"/>
          <w:color w:val="334155"/>
          <w:sz w:val="19"/>
          <w:szCs w:val="19"/>
        </w:rPr>
        <w:t xml:space="preserve">/protect → click first threat → /protect/alert-detail — Alert header shows 'TechElectro Store', amount $2,847, confidence 0.94</w:t>
      </w:r>
    </w:p>
    <w:p>
      <w:pPr>
        <w:pStyle w:val="ListParagraph"/>
        <w:numPr>
          <w:ilvl w:val="0"/>
          <w:numId w:val="2"/>
        </w:numPr>
        <w:spacing w:before="40" w:after="40"/>
      </w:pPr>
      <w:r>
        <w:rPr>
          <w:rFonts w:ascii="Arial" w:cs="Arial" w:eastAsia="Arial" w:hAnsi="Arial"/>
          <w:color w:val="334155"/>
          <w:sz w:val="19"/>
          <w:szCs w:val="19"/>
        </w:rPr>
        <w:t xml:space="preserve">/protect/alert-detail — Evidence item 2 references 'TechElectro Store', not 'MerchantX Electronics'</w:t>
      </w:r>
    </w:p>
    <w:p>
      <w:pPr>
        <w:pStyle w:val="ListParagraph"/>
        <w:numPr>
          <w:ilvl w:val="0"/>
          <w:numId w:val="2"/>
        </w:numPr>
        <w:spacing w:before="40" w:after="40"/>
      </w:pPr>
      <w:r>
        <w:rPr>
          <w:rFonts w:ascii="Arial" w:cs="Arial" w:eastAsia="Arial" w:hAnsi="Arial"/>
          <w:color w:val="334155"/>
          <w:sz w:val="19"/>
          <w:szCs w:val="19"/>
        </w:rPr>
        <w:t xml:space="preserve">/protect/alert-detail → Dispute → /protect/dispute — Transaction card shows 'TechElectro Store', '$2,847.00'</w:t>
      </w:r>
    </w:p>
    <w:p>
      <w:pPr>
        <w:pStyle w:val="ListParagraph"/>
        <w:numPr>
          <w:ilvl w:val="0"/>
          <w:numId w:val="2"/>
        </w:numPr>
        <w:spacing w:before="40" w:after="40"/>
      </w:pPr>
      <w:r>
        <w:rPr>
          <w:rFonts w:ascii="Arial" w:cs="Arial" w:eastAsia="Arial" w:hAnsi="Arial"/>
          <w:color w:val="334155"/>
          <w:sz w:val="19"/>
          <w:szCs w:val="19"/>
        </w:rPr>
        <w:t xml:space="preserve">/protect/dispute — AI-generated letter reads '$2,847.00' and 'TechElectro Store' (not $4,200 / MerchantX)</w:t>
      </w:r>
    </w:p>
    <w:p>
      <w:pPr>
        <w:pStyle w:val="ListParagraph"/>
        <w:numPr>
          <w:ilvl w:val="0"/>
          <w:numId w:val="2"/>
        </w:numPr>
        <w:spacing w:before="40" w:after="40"/>
      </w:pPr>
      <w:r>
        <w:rPr>
          <w:rFonts w:ascii="Arial" w:cs="Arial" w:eastAsia="Arial" w:hAnsi="Arial"/>
          <w:color w:val="334155"/>
          <w:sz w:val="19"/>
          <w:szCs w:val="19"/>
        </w:rPr>
        <w:t xml:space="preserve">/govern — 'Verified: X%' shows a mathematically correct value with clear denominator label</w:t>
      </w:r>
    </w:p>
    <w:p>
      <w:pPr>
        <w:pStyle w:val="ListParagraph"/>
        <w:numPr>
          <w:ilvl w:val="0"/>
          <w:numId w:val="2"/>
        </w:numPr>
        <w:spacing w:before="40" w:after="40"/>
      </w:pPr>
      <w:r>
        <w:rPr>
          <w:rFonts w:ascii="Arial" w:cs="Arial" w:eastAsia="Arial" w:hAnsi="Arial"/>
          <w:color w:val="334155"/>
          <w:sz w:val="19"/>
          <w:szCs w:val="19"/>
        </w:rPr>
        <w:t xml:space="preserve">/govern/audit — Verified percentage matches /govern; filter tab totals are explained or aligned to 1,247</w:t>
      </w:r>
    </w:p>
    <w:p>
      <w:pPr>
        <w:pStyle w:val="ListParagraph"/>
        <w:numPr>
          <w:ilvl w:val="0"/>
          <w:numId w:val="2"/>
        </w:numPr>
        <w:spacing w:before="40" w:after="40"/>
      </w:pPr>
      <w:r>
        <w:rPr>
          <w:rFonts w:ascii="Arial" w:cs="Arial" w:eastAsia="Arial" w:hAnsi="Arial"/>
          <w:color w:val="334155"/>
          <w:sz w:val="19"/>
          <w:szCs w:val="19"/>
        </w:rPr>
        <w:t xml:space="preserve">/dashboard — Activity feed does not contain 'MerchantX'; shows 'TechElectro Store'</w:t>
      </w:r>
    </w:p>
    <w:p>
      <w:pPr>
        <w:spacing w:before="80" w:after="80"/>
      </w:pPr>
      <w:r>
        <w:t xml:space="preserve"/>
      </w:r>
    </w:p>
    <w:p>
      <w:pPr>
        <w:pStyle w:val="Heading3"/>
        <w:spacing w:before="240" w:after="80"/>
      </w:pPr>
      <w:r>
        <w:rPr>
          <w:rFonts w:ascii="Arial" w:cs="Arial" w:eastAsia="Arial" w:hAnsi="Arial"/>
          <w:b/>
          <w:bCs/>
          <w:color w:val="334155"/>
          <w:sz w:val="22"/>
          <w:szCs w:val="22"/>
        </w:rPr>
        <w:t xml:space="preserve">F.2  Execute Engine Validation</w:t>
      </w:r>
    </w:p>
    <w:p>
      <w:pPr>
        <w:pStyle w:val="ListParagraph"/>
        <w:numPr>
          <w:ilvl w:val="0"/>
          <w:numId w:val="2"/>
        </w:numPr>
        <w:spacing w:before="40" w:after="40"/>
      </w:pPr>
      <w:r>
        <w:rPr>
          <w:rFonts w:ascii="Arial" w:cs="Arial" w:eastAsia="Arial" w:hAnsi="Arial"/>
          <w:color w:val="334155"/>
          <w:sz w:val="19"/>
          <w:szCs w:val="19"/>
        </w:rPr>
        <w:t xml:space="preserve">/execute — 'Defer' button on each pending action card produces a visible response on click</w:t>
      </w:r>
    </w:p>
    <w:p>
      <w:pPr>
        <w:pStyle w:val="ListParagraph"/>
        <w:numPr>
          <w:ilvl w:val="0"/>
          <w:numId w:val="2"/>
        </w:numPr>
        <w:spacing w:before="40" w:after="40"/>
      </w:pPr>
      <w:r>
        <w:rPr>
          <w:rFonts w:ascii="Arial" w:cs="Arial" w:eastAsia="Arial" w:hAnsi="Arial"/>
          <w:color w:val="334155"/>
          <w:sz w:val="19"/>
          <w:szCs w:val="19"/>
        </w:rPr>
        <w:t xml:space="preserve">/execute — Sidebar 'Completed today' count is consistent with completed items in the main panel</w:t>
      </w:r>
    </w:p>
    <w:p>
      <w:pPr>
        <w:pStyle w:val="ListParagraph"/>
        <w:numPr>
          <w:ilvl w:val="0"/>
          <w:numId w:val="2"/>
        </w:numPr>
        <w:spacing w:before="40" w:after="40"/>
      </w:pPr>
      <w:r>
        <w:rPr>
          <w:rFonts w:ascii="Arial" w:cs="Arial" w:eastAsia="Arial" w:hAnsi="Arial"/>
          <w:color w:val="334155"/>
          <w:sz w:val="19"/>
          <w:szCs w:val="19"/>
        </w:rPr>
        <w:t xml:space="preserve">/execute/history — 'Reversed' count matches 'Rollbacks (24h)' on /execute</w:t>
      </w:r>
    </w:p>
    <w:p>
      <w:pPr>
        <w:pStyle w:val="ListParagraph"/>
        <w:numPr>
          <w:ilvl w:val="0"/>
          <w:numId w:val="2"/>
        </w:numPr>
        <w:spacing w:before="40" w:after="40"/>
      </w:pPr>
      <w:r>
        <w:rPr>
          <w:rFonts w:ascii="Arial" w:cs="Arial" w:eastAsia="Arial" w:hAnsi="Arial"/>
          <w:color w:val="334155"/>
          <w:sz w:val="19"/>
          <w:szCs w:val="19"/>
        </w:rPr>
        <w:t xml:space="preserve">/execute — 'Approve' action correctly moves item to Completed section</w:t>
      </w:r>
    </w:p>
    <w:p>
      <w:pPr>
        <w:spacing w:before="80" w:after="80"/>
      </w:pPr>
      <w:r>
        <w:t xml:space="preserve"/>
      </w:r>
    </w:p>
    <w:p>
      <w:pPr>
        <w:pStyle w:val="Heading3"/>
        <w:spacing w:before="240" w:after="80"/>
      </w:pPr>
      <w:r>
        <w:rPr>
          <w:rFonts w:ascii="Arial" w:cs="Arial" w:eastAsia="Arial" w:hAnsi="Arial"/>
          <w:b/>
          <w:bCs/>
          <w:color w:val="334155"/>
          <w:sz w:val="22"/>
          <w:szCs w:val="22"/>
        </w:rPr>
        <w:t xml:space="preserve">F.3  Onboarding Flow Validation</w:t>
      </w:r>
    </w:p>
    <w:p>
      <w:pPr>
        <w:pStyle w:val="ListParagraph"/>
        <w:numPr>
          <w:ilvl w:val="0"/>
          <w:numId w:val="2"/>
        </w:numPr>
        <w:spacing w:before="40" w:after="40"/>
      </w:pPr>
      <w:r>
        <w:rPr>
          <w:rFonts w:ascii="Arial" w:cs="Arial" w:eastAsia="Arial" w:hAnsi="Arial"/>
          <w:color w:val="334155"/>
          <w:sz w:val="19"/>
          <w:szCs w:val="19"/>
        </w:rPr>
        <w:t xml:space="preserve">/onboarding (welcome) — Step progress indicator visible ('Step 1 of 4' or dots/progress bar)</w:t>
      </w:r>
    </w:p>
    <w:p>
      <w:pPr>
        <w:pStyle w:val="ListParagraph"/>
        <w:numPr>
          <w:ilvl w:val="0"/>
          <w:numId w:val="2"/>
        </w:numPr>
        <w:spacing w:before="40" w:after="40"/>
      </w:pPr>
      <w:r>
        <w:rPr>
          <w:rFonts w:ascii="Arial" w:cs="Arial" w:eastAsia="Arial" w:hAnsi="Arial"/>
          <w:color w:val="334155"/>
          <w:sz w:val="19"/>
          <w:szCs w:val="19"/>
        </w:rPr>
        <w:t xml:space="preserve">/onboarding/connect — Step progress indicator visible ('Step 2 of 4')</w:t>
      </w:r>
    </w:p>
    <w:p>
      <w:pPr>
        <w:pStyle w:val="ListParagraph"/>
        <w:numPr>
          <w:ilvl w:val="0"/>
          <w:numId w:val="2"/>
        </w:numPr>
        <w:spacing w:before="40" w:after="40"/>
      </w:pPr>
      <w:r>
        <w:rPr>
          <w:rFonts w:ascii="Arial" w:cs="Arial" w:eastAsia="Arial" w:hAnsi="Arial"/>
          <w:color w:val="334155"/>
          <w:sz w:val="19"/>
          <w:szCs w:val="19"/>
        </w:rPr>
        <w:t xml:space="preserve">/onboarding/goals — Step progress indicator visible ('Step 3 of 4'); 'Continue' not keyboard-accessible when disabled</w:t>
      </w:r>
    </w:p>
    <w:p>
      <w:pPr>
        <w:pStyle w:val="ListParagraph"/>
        <w:numPr>
          <w:ilvl w:val="0"/>
          <w:numId w:val="2"/>
        </w:numPr>
        <w:spacing w:before="40" w:after="40"/>
      </w:pPr>
      <w:r>
        <w:rPr>
          <w:rFonts w:ascii="Arial" w:cs="Arial" w:eastAsia="Arial" w:hAnsi="Arial"/>
          <w:color w:val="334155"/>
          <w:sz w:val="19"/>
          <w:szCs w:val="19"/>
        </w:rPr>
        <w:t xml:space="preserve">/onboarding/consent — Step progress indicator visible ('Step 4 of 4')</w:t>
      </w:r>
    </w:p>
    <w:p>
      <w:pPr>
        <w:pStyle w:val="ListParagraph"/>
        <w:numPr>
          <w:ilvl w:val="0"/>
          <w:numId w:val="2"/>
        </w:numPr>
        <w:spacing w:before="40" w:after="40"/>
      </w:pPr>
      <w:r>
        <w:rPr>
          <w:rFonts w:ascii="Arial" w:cs="Arial" w:eastAsia="Arial" w:hAnsi="Arial"/>
          <w:color w:val="334155"/>
          <w:sz w:val="19"/>
          <w:szCs w:val="19"/>
        </w:rPr>
        <w:t xml:space="preserve">Full flow: /onboarding → connect → goals → consent → complete — navigable without interruption</w:t>
      </w:r>
    </w:p>
    <w:p>
      <w:pPr>
        <w:spacing w:before="80" w:after="80"/>
      </w:pPr>
      <w:r>
        <w:t xml:space="preserve"/>
      </w:r>
    </w:p>
    <w:p>
      <w:pPr>
        <w:pStyle w:val="Heading3"/>
        <w:spacing w:before="240" w:after="80"/>
      </w:pPr>
      <w:r>
        <w:rPr>
          <w:rFonts w:ascii="Arial" w:cs="Arial" w:eastAsia="Arial" w:hAnsi="Arial"/>
          <w:b/>
          <w:bCs/>
          <w:color w:val="334155"/>
          <w:sz w:val="22"/>
          <w:szCs w:val="22"/>
        </w:rPr>
        <w:t xml:space="preserve">F.4  Governance Trust Signal Validation</w:t>
      </w:r>
    </w:p>
    <w:p>
      <w:pPr>
        <w:pStyle w:val="ListParagraph"/>
        <w:numPr>
          <w:ilvl w:val="0"/>
          <w:numId w:val="2"/>
        </w:numPr>
        <w:spacing w:before="40" w:after="40"/>
      </w:pPr>
      <w:r>
        <w:rPr>
          <w:rFonts w:ascii="Arial" w:cs="Arial" w:eastAsia="Arial" w:hAnsi="Arial"/>
          <w:color w:val="334155"/>
          <w:sz w:val="19"/>
          <w:szCs w:val="19"/>
        </w:rPr>
        <w:t xml:space="preserve">Every Tier 1-2 page — GovernFooter renders with identical layout and all interactive elements functional</w:t>
      </w:r>
    </w:p>
    <w:p>
      <w:pPr>
        <w:pStyle w:val="ListParagraph"/>
        <w:numPr>
          <w:ilvl w:val="0"/>
          <w:numId w:val="2"/>
        </w:numPr>
        <w:spacing w:before="40" w:after="40"/>
      </w:pPr>
      <w:r>
        <w:rPr>
          <w:rFonts w:ascii="Arial" w:cs="Arial" w:eastAsia="Arial" w:hAnsi="Arial"/>
          <w:color w:val="334155"/>
          <w:sz w:val="19"/>
          <w:szCs w:val="19"/>
        </w:rPr>
        <w:t xml:space="preserve">/govern/audit — GovernFooter 'Request human review' stays within audit context (not /govern)</w:t>
      </w:r>
    </w:p>
    <w:p>
      <w:pPr>
        <w:pStyle w:val="ListParagraph"/>
        <w:numPr>
          <w:ilvl w:val="0"/>
          <w:numId w:val="2"/>
        </w:numPr>
        <w:spacing w:before="40" w:after="40"/>
      </w:pPr>
      <w:r>
        <w:rPr>
          <w:rFonts w:ascii="Arial" w:cs="Arial" w:eastAsia="Arial" w:hAnsi="Arial"/>
          <w:color w:val="334155"/>
          <w:sz w:val="19"/>
          <w:szCs w:val="19"/>
        </w:rPr>
        <w:t xml:space="preserve">All pages — GovernFooter auditId dates are consistent (all GV-2026-0216-*)</w:t>
      </w:r>
    </w:p>
    <w:p>
      <w:pPr>
        <w:pStyle w:val="ListParagraph"/>
        <w:numPr>
          <w:ilvl w:val="0"/>
          <w:numId w:val="2"/>
        </w:numPr>
        <w:spacing w:before="40" w:after="40"/>
      </w:pPr>
      <w:r>
        <w:rPr>
          <w:rFonts w:ascii="Arial" w:cs="Arial" w:eastAsia="Arial" w:hAnsi="Arial"/>
          <w:color w:val="334155"/>
          <w:sz w:val="19"/>
          <w:szCs w:val="19"/>
        </w:rPr>
        <w:t xml:space="preserve">/protect — GovernFooter auditId reads GV-2026-0216-PRT-SIG (not 0215)</w:t>
      </w:r>
    </w:p>
    <w:p>
      <w:pPr>
        <w:spacing w:before="80" w:after="80"/>
      </w:pPr>
      <w:r>
        <w:t xml:space="preserve"/>
      </w:r>
    </w:p>
    <w:p>
      <w:pPr>
        <w:pStyle w:val="Heading3"/>
        <w:spacing w:before="240" w:after="80"/>
      </w:pPr>
      <w:r>
        <w:rPr>
          <w:rFonts w:ascii="Arial" w:cs="Arial" w:eastAsia="Arial" w:hAnsi="Arial"/>
          <w:b/>
          <w:bCs/>
          <w:color w:val="334155"/>
          <w:sz w:val="22"/>
          <w:szCs w:val="22"/>
        </w:rPr>
        <w:t xml:space="preserve">F.5  Navigation Edge Cases</w:t>
      </w:r>
    </w:p>
    <w:p>
      <w:pPr>
        <w:pStyle w:val="ListParagraph"/>
        <w:numPr>
          <w:ilvl w:val="0"/>
          <w:numId w:val="2"/>
        </w:numPr>
        <w:spacing w:before="40" w:after="40"/>
      </w:pPr>
      <w:r>
        <w:rPr>
          <w:rFonts w:ascii="Arial" w:cs="Arial" w:eastAsia="Arial" w:hAnsi="Arial"/>
          <w:color w:val="334155"/>
          <w:sz w:val="19"/>
          <w:szCs w:val="19"/>
        </w:rPr>
        <w:t xml:space="preserve">/nonexistent-route — Lands on 404 page; 'Back to dashboard' routes to /dashboard (not /)</w:t>
      </w:r>
    </w:p>
    <w:p>
      <w:pPr>
        <w:pStyle w:val="ListParagraph"/>
        <w:numPr>
          <w:ilvl w:val="0"/>
          <w:numId w:val="2"/>
        </w:numPr>
        <w:spacing w:before="40" w:after="40"/>
      </w:pPr>
      <w:r>
        <w:rPr>
          <w:rFonts w:ascii="Arial" w:cs="Arial" w:eastAsia="Arial" w:hAnsi="Arial"/>
          <w:color w:val="334155"/>
          <w:sz w:val="19"/>
          <w:szCs w:val="19"/>
        </w:rPr>
        <w:t xml:space="preserve">/settings — Primary CTA does not self-navigate to /settings</w:t>
      </w:r>
    </w:p>
    <w:p>
      <w:pPr>
        <w:pStyle w:val="ListParagraph"/>
        <w:numPr>
          <w:ilvl w:val="0"/>
          <w:numId w:val="2"/>
        </w:numPr>
        <w:spacing w:before="40" w:after="40"/>
      </w:pPr>
      <w:r>
        <w:rPr>
          <w:rFonts w:ascii="Arial" w:cs="Arial" w:eastAsia="Arial" w:hAnsi="Arial"/>
          <w:color w:val="334155"/>
          <w:sz w:val="19"/>
          <w:szCs w:val="19"/>
        </w:rPr>
        <w:t xml:space="preserve">/dashboard — h1 engine count matches the number of EngineHealthCard entries rendered</w:t>
      </w:r>
    </w:p>
    <w:p>
      <w:pPr>
        <w:spacing w:before="80" w:after="80"/>
      </w:pPr>
      <w:r>
        <w:t xml:space="preserve"/>
      </w:r>
    </w:p>
    <w:p>
      <w:pPr>
        <w:pStyle w:val="Heading3"/>
        <w:spacing w:before="240" w:after="80"/>
      </w:pPr>
      <w:r>
        <w:rPr>
          <w:rFonts w:ascii="Arial" w:cs="Arial" w:eastAsia="Arial" w:hAnsi="Arial"/>
          <w:b/>
          <w:bCs/>
          <w:color w:val="334155"/>
          <w:sz w:val="22"/>
          <w:szCs w:val="22"/>
        </w:rPr>
        <w:t xml:space="preserve">F.6  Live Site Validation (Requires Chrome Extension)</w:t>
      </w:r>
    </w:p>
    <w:p>
      <w:pPr>
        <w:pStyle w:val="ListParagraph"/>
        <w:numPr>
          <w:ilvl w:val="0"/>
          <w:numId w:val="2"/>
        </w:numPr>
        <w:spacing w:before="40" w:after="40"/>
      </w:pPr>
      <w:r>
        <w:rPr>
          <w:rFonts w:ascii="Arial" w:cs="Arial" w:eastAsia="Arial" w:hAnsi="Arial"/>
          <w:color w:val="334155"/>
          <w:sz w:val="19"/>
          <w:szCs w:val="19"/>
        </w:rPr>
        <w:t xml:space="preserve">Responsive layout at 375×812 (mobile) — all pages, especially Execute action cards and Protect threat list</w:t>
      </w:r>
    </w:p>
    <w:p>
      <w:pPr>
        <w:pStyle w:val="ListParagraph"/>
        <w:numPr>
          <w:ilvl w:val="0"/>
          <w:numId w:val="2"/>
        </w:numPr>
        <w:spacing w:before="40" w:after="40"/>
      </w:pPr>
      <w:r>
        <w:rPr>
          <w:rFonts w:ascii="Arial" w:cs="Arial" w:eastAsia="Arial" w:hAnsi="Arial"/>
          <w:color w:val="334155"/>
          <w:sz w:val="19"/>
          <w:szCs w:val="19"/>
        </w:rPr>
        <w:t xml:space="preserve">Responsive layout at 768×1024 (tablet) — grid breakpoints, sidebar collapsing</w:t>
      </w:r>
    </w:p>
    <w:p>
      <w:pPr>
        <w:pStyle w:val="ListParagraph"/>
        <w:numPr>
          <w:ilvl w:val="0"/>
          <w:numId w:val="2"/>
        </w:numPr>
        <w:spacing w:before="40" w:after="40"/>
      </w:pPr>
      <w:r>
        <w:rPr>
          <w:rFonts w:ascii="Arial" w:cs="Arial" w:eastAsia="Arial" w:hAnsi="Arial"/>
          <w:color w:val="334155"/>
          <w:sz w:val="19"/>
          <w:szCs w:val="19"/>
        </w:rPr>
        <w:t xml:space="preserve">Keyboard navigation — tab order through each engine page; confirm no focus traps</w:t>
      </w:r>
    </w:p>
    <w:p>
      <w:pPr>
        <w:pStyle w:val="ListParagraph"/>
        <w:numPr>
          <w:ilvl w:val="0"/>
          <w:numId w:val="2"/>
        </w:numPr>
        <w:spacing w:before="40" w:after="40"/>
      </w:pPr>
      <w:r>
        <w:rPr>
          <w:rFonts w:ascii="Arial" w:cs="Arial" w:eastAsia="Arial" w:hAnsi="Arial"/>
          <w:color w:val="334155"/>
          <w:sz w:val="19"/>
          <w:szCs w:val="19"/>
        </w:rPr>
        <w:t xml:space="preserve">Reduced-motion preference — Framer Motion useReducedMotion() suppresses spring animations</w:t>
      </w:r>
    </w:p>
    <w:p>
      <w:pPr>
        <w:pStyle w:val="ListParagraph"/>
        <w:numPr>
          <w:ilvl w:val="0"/>
          <w:numId w:val="2"/>
        </w:numPr>
        <w:spacing w:before="40" w:after="40"/>
      </w:pPr>
      <w:r>
        <w:rPr>
          <w:rFonts w:ascii="Arial" w:cs="Arial" w:eastAsia="Arial" w:hAnsi="Arial"/>
          <w:color w:val="334155"/>
          <w:sz w:val="19"/>
          <w:szCs w:val="19"/>
        </w:rPr>
        <w:t xml:space="preserve">Page load performance — LCP and TTI on initial dashboard render via GitHub Pages CDN</w:t>
      </w:r>
    </w:p>
    <w:p>
      <w:pPr>
        <w:pStyle w:val="ListParagraph"/>
        <w:numPr>
          <w:ilvl w:val="0"/>
          <w:numId w:val="2"/>
        </w:numPr>
        <w:spacing w:before="40" w:after="40"/>
      </w:pPr>
      <w:r>
        <w:rPr>
          <w:rFonts w:ascii="Arial" w:cs="Arial" w:eastAsia="Arial" w:hAnsi="Arial"/>
          <w:color w:val="334155"/>
          <w:sz w:val="19"/>
          <w:szCs w:val="19"/>
        </w:rPr>
        <w:t xml:space="preserve">Protected routes — /dashboard and engine pages redirect to /login when unauthenticated</w:t>
      </w:r>
    </w:p>
    <w:p>
      <w:pPr>
        <w:pStyle w:val="ListParagraph"/>
        <w:numPr>
          <w:ilvl w:val="0"/>
          <w:numId w:val="2"/>
        </w:numPr>
        <w:spacing w:before="40" w:after="40"/>
      </w:pPr>
      <w:r>
        <w:rPr>
          <w:rFonts w:ascii="Arial" w:cs="Arial" w:eastAsia="Arial" w:hAnsi="Arial"/>
          <w:color w:val="334155"/>
          <w:sz w:val="19"/>
          <w:szCs w:val="19"/>
        </w:rPr>
        <w:t xml:space="preserve">Back-button behavior — browser back from alert-detail → protect preserves state</w:t>
      </w:r>
    </w:p>
    <w:p>
      <w:pPr>
        <w:pStyle w:val="ListParagraph"/>
        <w:numPr>
          <w:ilvl w:val="0"/>
          <w:numId w:val="2"/>
        </w:numPr>
        <w:spacing w:before="40" w:after="40"/>
      </w:pPr>
      <w:r>
        <w:rPr>
          <w:rFonts w:ascii="Arial" w:cs="Arial" w:eastAsia="Arial" w:hAnsi="Arial"/>
          <w:color w:val="334155"/>
          <w:sz w:val="19"/>
          <w:szCs w:val="19"/>
        </w:rPr>
        <w:t xml:space="preserve">Onboarding forward/back navigation without state loss across all 4 steps</w:t>
      </w:r>
    </w:p>
    <w:p>
      <w:pPr>
        <w:spacing w:before="80" w:after="80"/>
      </w:pPr>
      <w:r>
        <w:t xml:space="preserve"/>
      </w:r>
    </w:p>
    <w:p>
      <w:r>
        <w:br w:type="page"/>
      </w:r>
    </w:p>
    <w:p>
      <w:pPr>
        <w:spacing w:before="60" w:after="60"/>
      </w:pPr>
      <w:r>
        <w:rPr>
          <w:rFonts w:ascii="Arial" w:cs="Arial" w:eastAsia="Arial" w:hAnsi="Arial"/>
          <w:b w:val="false"/>
          <w:bCs w:val="false"/>
          <w:color w:val="64748B"/>
          <w:sz w:val="17"/>
          <w:szCs w:val="17"/>
        </w:rPr>
        <w:t xml:space="preserve">Audit generated 2026-02-19 via static source analysis of poseidon-mit.github.io. ~25 of 40+ routes fully audited. Routes not covered in this pass: Pricing, Trust, Deck, Recovery, HelpSupport, GrowGoalDetail, GrowRecommendations, ExecuteApproval, GovernAuditDetail, GovernTrust, GovernOversight, GovernRegistry, GovernPolicy, SettingsAI, SettingsIntegrations, SettingsRights, AlertsHub, and dashboard sub-routes. Supplemental audit of remaining routes recommended prior to full production release.</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BD5E1" w:sz="4" w:space="4"/>
      </w:pBdr>
      <w:spacing w:before="120"/>
      <w:jc w:val="right"/>
    </w:pPr>
    <w:r>
      <w:rPr>
        <w:rFonts w:ascii="Arial" w:cs="Arial" w:eastAsia="Arial" w:hAnsi="Arial"/>
        <w:color w:val="94A3B8"/>
        <w:sz w:val="16"/>
        <w:szCs w:val="16"/>
      </w:rPr>
      <w:t xml:space="preserve">Page </w:t>
    </w:r>
    <w:r>
      <w:rPr>
        <w:rFonts w:ascii="Arial" w:cs="Arial" w:eastAsia="Arial" w:hAnsi="Arial"/>
        <w:color w:val="94A3B8"/>
        <w:sz w:val="16"/>
        <w:szCs w:val="16"/>
      </w:rPr>
      <w:fldChar w:fldCharType="begin"/>
      <w:instrText xml:space="preserve">PAGE</w:instrText>
      <w:fldChar w:fldCharType="separate"/>
      <w:fldChar w:fldCharType="end"/>
    </w:r>
    <w:r>
      <w:rPr>
        <w:rFonts w:ascii="Arial" w:cs="Arial" w:eastAsia="Arial" w:hAnsi="Arial"/>
        <w:color w:val="94A3B8"/>
        <w:sz w:val="16"/>
        <w:szCs w:val="16"/>
      </w:rPr>
      <w:t xml:space="preserve"> of </w:t>
    </w:r>
    <w:r>
      <w:rPr>
        <w:rFonts w:ascii="Arial" w:cs="Arial" w:eastAsia="Arial" w:hAnsi="Arial"/>
        <w:color w:val="94A3B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BD5E1" w:sz="4" w:space="4"/>
      </w:pBdr>
      <w:spacing w:after="120"/>
    </w:pPr>
    <w:r>
      <w:rPr>
        <w:rFonts w:ascii="Arial" w:cs="Arial" w:eastAsia="Arial" w:hAnsi="Arial"/>
        <w:color w:val="64748B"/>
        <w:sz w:val="16"/>
        <w:szCs w:val="16"/>
      </w:rPr>
      <w:t xml:space="preserve">Poseidon.AI — UX / Product Quality Audit</w:t>
    </w:r>
    <w:r>
      <w:rPr>
        <w:rFonts w:ascii="Arial" w:cs="Arial" w:eastAsia="Arial" w:hAnsi="Arial"/>
        <w:color w:val="64748B"/>
        <w:sz w:val="16"/>
        <w:szCs w:val="16"/>
      </w:rPr>
      <w:t xml:space="preserve">  |  2026-02-19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360"/>
      </w:pPr>
    </w:lvl>
  </w:abstractNum>
  <w:abstractNum w:abstractNumId="3" w15:restartNumberingAfterBreak="0">
    <w:multiLevelType w:val="hybridMultilevel"/>
    <w:lvl w:ilvl="0" w15:tentative="1">
      <w:start w:val="1"/>
      <w:numFmt w:val="bullet"/>
      <w:lvlText w:val="•"/>
      <w:lvlJc w:val="left"/>
      <w:pPr>
        <w:ind w:left="4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color w:val="0F172A"/>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0F172A"/>
      <w:sz w:val="28"/>
      <w:szCs w:val="28"/>
    </w:rPr>
  </w:style>
  <w:style w:type="paragraph" w:styleId="Heading3">
    <w:name w:val="Heading 3"/>
    <w:basedOn w:val="Normal"/>
    <w:next w:val="Normal"/>
    <w:qFormat/>
    <w:pPr>
      <w:spacing w:before="240" w:after="80"/>
      <w:outlineLvl w:val="2"/>
    </w:pPr>
    <w:rPr>
      <w:rFonts w:ascii="Arial" w:cs="Arial" w:eastAsia="Arial" w:hAnsi="Arial"/>
      <w:b/>
      <w:bCs/>
      <w:color w:val="3341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2026-02-19T15:21:58.841Z</dcterms:created>
  <dcterms:modified xsi:type="dcterms:W3CDTF">2026-02-19T15:21:58.841Z</dcterms:modified>
</cp:coreProperties>
</file>

<file path=docProps/custom.xml><?xml version="1.0" encoding="utf-8"?>
<Properties xmlns="http://schemas.openxmlformats.org/officeDocument/2006/custom-properties" xmlns:vt="http://schemas.openxmlformats.org/officeDocument/2006/docPropsVTypes"/>
</file>