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52B84"/>
          <w:sz w:val="32"/>
        </w:rPr>
        <w:t>ACTA DE DEMOSTRACIÓN Y SOLICITUD DE ACEPTACIÓN — HITO A</w:t>
      </w:r>
    </w:p>
    <w:p>
      <w:pPr>
        <w:spacing w:after="200"/>
      </w:pPr>
      <w:r>
        <w:rPr>
          <w:b w:val="0"/>
          <w:i w:val="0"/>
          <w:color w:val="707173"/>
          <w:sz w:val="24"/>
        </w:rPr>
        <w:t>Cuentas y seguridad · Registro, verificación, recuperación, roles y 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87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Proyecto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Legal English 5 — Implementación del MVP funcional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MPC LAW STUDIO — Pilar Cruz (Owner)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Contratista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Carlos Andrés Angola Berrio — C.C. 1118201113 — Villanueva, Casanare — No responsable de IVA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Fecha de entrega del acta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9 de septiembre de 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Hito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A · Cuentas y seguridad — 25 % de los honorarios — COP 2.437.500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Base contractual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Propuesta Técnica y Económica de alcance cerrado (revisión del 2 de septiembre de 2026), numerales 6 y 8; Solicitud de Cotización del 24 de agosto de 2026; Registro de Hallazgos del 25 de agosto de 2026.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Plazo de respuesta del cliente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5 días hábiles desde la entrega de esta acta: hasta el miércoles 16 de septiembre de 2026, para firmar la aceptación o listar defectos por escrito (numeral 8 de la sección Decisión).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452B84"/>
        </w:rPr>
        <w:t>1. Objeto y regla de aceptación</w:t>
      </w:r>
    </w:p>
    <w:p>
      <w:pPr>
        <w:spacing w:after="120"/>
      </w:pPr>
      <w:r>
        <w:rPr>
          <w:b w:val="0"/>
          <w:i w:val="0"/>
        </w:rPr>
        <w:t>Este documento formaliza la demostración del Hito A conforme a la propuesta aceptada: «Cada hito se demuestra; usted tiene 5 días hábiles para firmar el acta o listar defectos por escrito. Sin acta no se entiende aceptado». La demostración, sola o acompañada de silencio, no equivale a aceptación. El pago del hito se libera con el acta firmada (correo o documento), no con la sesión de demo. La garantía de 45 días del alcance total inicia con el acta de cierre, no con esta acta parcial.</w:t>
      </w:r>
    </w:p>
    <w:p>
      <w:pPr>
        <w:pStyle w:val="Heading1"/>
      </w:pPr>
      <w:r>
        <w:rPr>
          <w:rFonts w:ascii="Calibri" w:hAnsi="Calibri"/>
          <w:color w:val="452B84"/>
        </w:rPr>
        <w:t>2. Alcance comprometido para el Hito A</w:t>
      </w:r>
    </w:p>
    <w:p>
      <w:pPr>
        <w:spacing w:after="60"/>
      </w:pPr>
      <w:r>
        <w:rPr>
          <w:b w:val="0"/>
          <w:i w:val="0"/>
        </w:rPr>
        <w:t>Tomado literalmente de la propuesta (plan de pagos y semana 1 del cronograma):</w:t>
      </w:r>
    </w:p>
    <w:p>
      <w:pPr>
        <w:pStyle w:val="ListBullet"/>
        <w:spacing w:after="40"/>
      </w:pPr>
      <w:r>
        <w:t>Registro, verificación de correo, recuperación de contraseña, perfil, baja y roles, en cuentas a nombre del cliente.</w:t>
      </w:r>
    </w:p>
    <w:p>
      <w:pPr>
        <w:pStyle w:val="ListBullet"/>
        <w:spacing w:after="40"/>
      </w:pPr>
      <w:r>
        <w:t>Esquema SQL con Category, CivilLawEquivalent, RLS por tabla y capa de entitlement.</w:t>
      </w:r>
    </w:p>
    <w:p>
      <w:pPr>
        <w:pStyle w:val="ListBullet"/>
        <w:spacing w:after="40"/>
      </w:pPr>
      <w:r>
        <w:t>Prueba diferencial Owner vs Learner: un Learner no accede a Admin ni por URL, ni al progreso ajeno.</w:t>
      </w:r>
    </w:p>
    <w:p>
      <w:pPr>
        <w:pStyle w:val="ListBullet"/>
        <w:spacing w:after="40"/>
      </w:pPr>
      <w:r>
        <w:t>Trial de 7 días persistente en base de datos; un refresh no lo reinicia; vencido el trial, bloqueo salvo suscripción activa.</w:t>
      </w:r>
    </w:p>
    <w:p>
      <w:pPr>
        <w:pStyle w:val="ListBullet"/>
        <w:spacing w:after="40"/>
      </w:pPr>
      <w:r>
        <w:t>Despliegue en producción: Vercel + Supabase a nombre del cliente, HTTPS, correo transaccional propio.</w:t>
      </w:r>
    </w:p>
    <w:p>
      <w:pPr>
        <w:pStyle w:val="Heading1"/>
      </w:pPr>
      <w:r>
        <w:rPr>
          <w:rFonts w:ascii="Calibri" w:hAnsi="Calibri"/>
          <w:color w:val="452B84"/>
        </w:rPr>
        <w:t>3. Entorno de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329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Estado / ubicación</w:t>
            </w:r>
          </w:p>
        </w:tc>
        <w:tc>
          <w:tcPr>
            <w:tcW w:type="dxa" w:w="2268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Titularidad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Aplicación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https://www.legalenglish5.com (HTTPS, HSTS activo)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Dominio del cliente (Colombia Hosting → DNS Vercel)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Alojamiento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Vercel, proyecto conectado al repositorio GitHub del MVP; despliegue automático desde la rama main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Cuenta Vercel del cliente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Base de datos / Auth / Storage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Supabase (Postgres con RLS, Auth con confirmación de correo, Storage privado con URL firmada)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Proyecto Supabase del cliente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Correo transaccional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Resend con dominio legalenglish5.com verificado (SPF, DKIM, MX); plantillas propias en español/inglés con código de 6 dígitos y enlace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Cuenta Resend del cliente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Código fuente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Repositorio GitHub; 65 pruebas automatizadas en verde; compilación de producción sin errores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Entrega al cierre (numeral 7 de la propuesta)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Cuentas de prueba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El cliente crea sus propias cuentas reales (una Owner asignada a pilarcruz640@gmail.com; dos Learner para la prueba de aislamiento). No se usan cuentas demo.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452B84"/>
        </w:rPr>
        <w:t>4. Verificaciones demostradas</w:t>
      </w:r>
    </w:p>
    <w:p>
      <w:pPr>
        <w:spacing w:after="80"/>
      </w:pPr>
      <w:r>
        <w:rPr>
          <w:b w:val="0"/>
          <w:i w:val="0"/>
        </w:rPr>
        <w:t>Resultado de cada verificación del numeral 6 de la propuesta aplicable al Hito A, con los pasos para reproducirla. «Cumple» significa verificado por el contratista en producción el 9 de septiembre de 2026. No sustituye las pruebas del cliente. Los hallazgos del 10 de septiembre de 2026 siguen abiertos hasta su corrección y nueva comprobación por la propietaria. La aceptación y el pago permanecen pendientes de su decisión expresa.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54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type="dxa" w:w="5669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Cómo reproducirla</w:t>
            </w:r>
          </w:p>
        </w:tc>
        <w:tc>
          <w:tcPr>
            <w:tcW w:type="dxa" w:w="1134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A-01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Registro con cuenta real y verificación de correo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Ir a /signup, registrarse con un correo real. Llega un correo desde legalenglish5.com con código de 6 dígitos y enlace. Cualquiera de los dos confirma la cuenta y abre la sesión.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Inicio y cierre de sesión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/login con la cuenta creada. «Sign out» cierra la sesión en el servidor: al volver a /account o /admin se redirige a /login.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A-03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Recuperación de contraseña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/login → «Forgot password». Llega un correo con código y enlace; se define una nueva contraseña; la anterior deja de funcionar.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A-04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Perfil, preferencias, baja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/account: nombre, foto de perfil, idioma, notificaciones y privacidad se guardan en la base de datos (persisten entre dispositivos). Cambio de contraseña, desactivación temporal y eliminación definitiva de la cuenta disponibles.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A-05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Learner no accede a Admin, ni por URL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Con una cuenta Learner: no existe enlace a la consola; abrir /admin por URL redirige; cualquier petición a /api/admin responde 403 «Owner access required». Con la cuenta Owner la consola abre normalmente.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A-06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Dos Learners, progresos independientes (RLS)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Dos cuentas Learner abren el mismo Term y responden el quiz: cada una ve solo su estado New/Learning/Mastered. Las políticas RLS de Postgres (25 políticas sobre todas las tablas) impiden leer o escribir filas ajenas, incluso alterando identificadores en la petición (prueba IDOR).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A-07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Trial de 7 días persistente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Al confirmar la cuenta se crea el trial en la base de datos con fecha de inicio y fin. Refrescar, cerrar sesión o cambiar de dispositivo muestra la misma fecha de vencimiento; no se reinicia.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A-08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Vencido el trial, bloqueo salvo suscripción activa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La regla de acceso se evalúa en el servidor: con trial vencido y sin suscripción, la API no entrega el contenido protegido y el Learner ve la pantalla de renovación. (Owner: se puede simular ajustando la fecha del trial desde Usuarios.)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A-09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Esquema SQL: Category, CivilLawEquivalent, RLS, entitlement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Migraciones 001–008 aplicadas en el proyecto Supabase del cliente. Category restringida por constraint a Contracts / Corporate Law / Employment Law; CivilLawEquivalent presente en Terms; RLS habilitado en todas las tablas; estados de entitlement (active, past_due, payment_failed, cancelled, expired) en base de datos.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A-10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Despliegue y seguridad de transporte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HTTPS con HSTS (2 años), X-Frame-Options DENY, X-Content-Type-Options nosniff, Referrer-Policy y Permissions-Policy activos. Secretos únicamente en las variables de entorno de Vercel y en Supabase; nada en el código.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A-11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Admin por rol en servidor; entitlement inmutable desde el cliente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El rol se lee de la base de datos en cada petición; ningún parámetro del navegador otorga permisos. Suscripciones y entitlement solo se modifican por el Owner o por el proveedor de pagos.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A-12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Teléfono y computador sin desborde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Registro, login, cuenta y consola verificados en 390 px (móvil) y 1280 px (escritorio): sin desplazamiento horizontal, controles de al menos 44 px, formulario de login visible arriba en móvil.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A-13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Canal de reporte de fallas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Owner: consola → Soporte (tickets con severidad y estado) o correo de garantía del contrato. Learner: «Reportar un problema» en cada Term, que crea el ticket para el Owner.</w:t>
            </w:r>
          </w:p>
        </w:tc>
        <w:tc>
          <w:tcPr>
            <w:tcW w:type="dxa" w:w="1134"/>
            <w:shd w:val="clear" w:color="auto" w:fill="EAF5EA"/>
          </w:tcPr>
          <w:p>
            <w:r/>
            <w:r>
              <w:rPr>
                <w:sz w:val="18"/>
              </w:rPr>
              <w:t>Cumple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452B84"/>
        </w:rPr>
        <w:t>5. Hallazgos y observaciones conocidas</w:t>
      </w:r>
    </w:p>
    <w:p>
      <w:pPr>
        <w:spacing w:after="60"/>
      </w:pPr>
      <w:r>
        <w:rPr>
          <w:b w:val="0"/>
          <w:i w:val="0"/>
        </w:rPr>
        <w:t>Se declaran para que el cliente decida con información completa. Ninguno impide el uso del Hito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  <w:tc>
          <w:tcPr>
            <w:tcW w:type="dxa" w:w="2608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type="dxa" w:w="3288"/>
            <w:shd w:val="clear" w:color="auto" w:fill="452B84"/>
          </w:tcPr>
          <w:p>
            <w:r/>
            <w:r>
              <w:rPr>
                <w:b/>
                <w:color w:val="FFFFFF"/>
                <w:sz w:val="18"/>
              </w:rPr>
              <w:t>Tratamiento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O-1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Los 30 Terms del MCD aún no están en estado Published en producción (falta la importación definitiva y la carga de audios).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Un Learner ve las tres áreas vacías hasta la publicación.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Corresponde al Hito B. Se ejecuta la primera carga por el contratista con autorización del cliente, o por el cliente desde la consola.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O-2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El proyecto Supabase está en plan Free.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Sin respaldos diarios automáticos ni soporte de restore (RPO ≤ 24 h del numeral 6).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Costo de tercero a cargo del cliente (USD 25/mes aprox.). Recomendado antes del acta de cierre.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O-3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Correo transaccional: las plantillas por defecto de Supabase (solo enlace) estuvieron activas hasta activar SMTP propio el 8 de septiembre.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Ninguno actual: hoy se envía código de 6 dígitos y enlace; ambos funcionan.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Cerrado.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O-4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Mercado Pago no está conectado.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Sin cobro real; el trial y los estados de acceso ya operan.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Hito C. Requiere credenciales y planes del cliente.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O-5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Logo definitivo, textos de Privacidad y Términos y revisión final de traducciones al español pendientes del cliente.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Textos provisionales visibles en el pie de página.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Se aplican el mismo día en que se reciban.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452B84"/>
        </w:rPr>
        <w:t>6. Evidencia adicional</w:t>
      </w:r>
    </w:p>
    <w:p>
      <w:pPr>
        <w:pStyle w:val="ListBullet"/>
        <w:spacing w:after="40"/>
      </w:pPr>
      <w:r>
        <w:t>Auditoría interna del 6 de septiembre de 2026: 60 comprobaciones en página/dispositivo/estado; los 19 hallazgos (acceso directo a Account/Admin, logout en producción, audio, entitlement vencido, quiz ante fallo de red, login en móvil) fueron corregidos y verificados.</w:t>
      </w:r>
    </w:p>
    <w:p>
      <w:pPr>
        <w:pStyle w:val="ListBullet"/>
        <w:spacing w:after="40"/>
      </w:pPr>
      <w:r>
        <w:t>Pruebas automatizadas: 65 casos (acceso y entitlement, estados de cobro, esquema, sesión, actividad, ruta por área) en verde en la compilación desplegada.</w:t>
      </w:r>
    </w:p>
    <w:p>
      <w:pPr>
        <w:pStyle w:val="ListBullet"/>
        <w:spacing w:after="40"/>
      </w:pPr>
      <w:r>
        <w:t>Aclaración Hito B (9 de septiembre de 2026): CONFIRMADA sin cambio de precio ni cronograma; comportamiento ya desplegado.</w:t>
      </w:r>
    </w:p>
    <w:p>
      <w:pPr>
        <w:pStyle w:val="Heading1"/>
      </w:pPr>
      <w:r>
        <w:rPr>
          <w:rFonts w:ascii="Calibri" w:hAnsi="Calibri"/>
          <w:color w:val="452B84"/>
        </w:rPr>
        <w:t>7. Guion sugerido para la verificación del cliente (≈ 20 minutos)</w:t>
      </w:r>
    </w:p>
    <w:p>
      <w:pPr>
        <w:pStyle w:val="ListNumber"/>
        <w:spacing w:after="40"/>
      </w:pPr>
      <w:r>
        <w:t>Cree una cuenta Learner nueva con un correo real (A-01). Confirme con el código o el enlace.</w:t>
      </w:r>
    </w:p>
    <w:p>
      <w:pPr>
        <w:pStyle w:val="ListNumber"/>
        <w:spacing w:after="40"/>
      </w:pPr>
      <w:r>
        <w:t>Cierre sesión y vuelva a entrar (A-02). Use «Forgot password» y cambie la contraseña (A-03).</w:t>
      </w:r>
    </w:p>
    <w:p>
      <w:pPr>
        <w:pStyle w:val="ListNumber"/>
        <w:spacing w:after="40"/>
      </w:pPr>
      <w:r>
        <w:t>En /account cambie nombre, foto e idioma; cierre sesión, entre desde el teléfono y confirme que se conservan (A-04, A-12).</w:t>
      </w:r>
    </w:p>
    <w:p>
      <w:pPr>
        <w:pStyle w:val="ListNumber"/>
        <w:spacing w:after="40"/>
      </w:pPr>
      <w:r>
        <w:t>Con esa cuenta Learner escriba /admin en la barra de direcciones: debe redirigir (A-05).</w:t>
      </w:r>
    </w:p>
    <w:p>
      <w:pPr>
        <w:pStyle w:val="ListNumber"/>
        <w:spacing w:after="40"/>
      </w:pPr>
      <w:r>
        <w:t>Cree una segunda cuenta Learner. Con la Owner, publique un Term de prueba; con cada Learner responda el quiz y compare que el progreso es distinto (A-06).</w:t>
      </w:r>
    </w:p>
    <w:p>
      <w:pPr>
        <w:pStyle w:val="ListNumber"/>
        <w:spacing w:after="40"/>
      </w:pPr>
      <w:r>
        <w:t>Anote la fecha de fin de trial que muestra la barra lateral; refresque y vuelva a entrar mañana: no cambia (A-07).</w:t>
      </w:r>
    </w:p>
    <w:p>
      <w:pPr>
        <w:pStyle w:val="ListNumber"/>
        <w:spacing w:after="40"/>
      </w:pPr>
      <w:r>
        <w:t>Desde la consola (Usuarios) adelante el vencimiento del trial de una cuenta Learner y compruebe el bloqueo del contenido (A-08).</w:t>
      </w:r>
    </w:p>
    <w:p>
      <w:pPr>
        <w:pStyle w:val="ListNumber"/>
        <w:spacing w:after="40"/>
      </w:pPr>
      <w:r>
        <w:t>Abra un ticket desde «Reportar un problema» y verifíquelo en la consola → Soporte (A-13).</w:t>
      </w:r>
    </w:p>
    <w:p>
      <w:pPr>
        <w:pStyle w:val="Heading1"/>
      </w:pPr>
      <w:r>
        <w:rPr>
          <w:rFonts w:ascii="Calibri" w:hAnsi="Calibri"/>
          <w:color w:val="452B84"/>
        </w:rPr>
        <w:t>8. Decisión del cliente (dentro de los 5 días hábiles: hasta el 16 de septiembre de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Marque una opción</w:t>
            </w:r>
          </w:p>
        </w:tc>
      </w:tr>
      <w:tr>
        <w:tc>
          <w:tcPr>
            <w:tcW w:type="dxa" w:w="9638"/>
          </w:tcPr>
          <w:p>
            <w:r/>
            <w:r>
              <w:rPr>
                <w:sz w:val="19"/>
              </w:rPr>
              <w:t>☐  ACEPTO EL HITO A. Las verificaciones A-01 a A-13 se cumplen conforme a la propuesta. Autorizo la liberación del 25 % correspondiente (COP 2.437.500).</w:t>
            </w:r>
          </w:p>
        </w:tc>
      </w:tr>
      <w:tr>
        <w:tc>
          <w:tcPr>
            <w:tcW w:type="dxa" w:w="9638"/>
          </w:tcPr>
          <w:p>
            <w:r/>
            <w:r>
              <w:rPr>
                <w:sz w:val="19"/>
              </w:rPr>
              <w:t>☐  LISTO DEFECTOS. Uno o más puntos no se cumplen; los describo en la tabla siguiente con pasos, resultado esperado y severidad propuesta (Crítica / Alta / Media / Baja según numeral 8 de la propuesta). El contratista acusa recibo en el plazo de respuesta, confirma o reclasifica la severidad y corrige dentro de los tiempos pactados; una vez corregidos, se firma el acta.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474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Verificación (ID)</w:t>
            </w:r>
          </w:p>
        </w:tc>
        <w:tc>
          <w:tcPr>
            <w:tcW w:type="dxa" w:w="3742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Descripción del defecto y pasos</w:t>
            </w:r>
          </w:p>
        </w:tc>
        <w:tc>
          <w:tcPr>
            <w:tcW w:type="dxa" w:w="2494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474"/>
            <w:shd w:val="clear" w:color="auto" w:fill="452B84"/>
          </w:tcPr>
          <w:p>
            <w:r/>
            <w:r>
              <w:rPr>
                <w:b/>
                <w:color w:val="FFFFFF"/>
                <w:sz w:val="19"/>
              </w:rPr>
              <w:t>Severidad propuesta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707173"/>
          </w:tcPr>
          <w:p>
            <w:r/>
            <w:r>
              <w:rPr>
                <w:b/>
                <w:color w:val="FFFFFF"/>
                <w:sz w:val="19"/>
              </w:rPr>
              <w:t>Por MPC LAW STUDIO</w:t>
            </w:r>
          </w:p>
        </w:tc>
        <w:tc>
          <w:tcPr>
            <w:tcW w:type="dxa" w:w="4819"/>
            <w:shd w:val="clear" w:color="auto" w:fill="707173"/>
          </w:tcPr>
          <w:p>
            <w:r/>
            <w:r>
              <w:rPr>
                <w:b/>
                <w:color w:val="FFFFFF"/>
                <w:sz w:val="19"/>
              </w:rPr>
              <w:t>Por el contratista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Nombre: Pilar Cruz</w:t>
              <w:br/>
              <w:br/>
              <w:t>Firma: ______________________________</w:t>
              <w:br/>
              <w:br/>
              <w:t>Fecha: ____ / ____ / 2026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Nombre: Carlos Andrés Angola Berrio — C.C. 1118201113</w:t>
              <w:br/>
              <w:br/>
              <w:t>Firma: ______________________________</w:t>
              <w:br/>
              <w:br/>
              <w:t>Fecha: 9 / 09 / 2026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707173"/>
          <w:sz w:val="19"/>
        </w:rPr>
        <w:t>Comentarios / notas: ____________________________________________________________________________________</w:t>
      </w:r>
    </w:p>
    <w:p>
      <w:pPr>
        <w:spacing w:after="120"/>
      </w:pPr>
      <w:r>
        <w:rPr>
          <w:b w:val="0"/>
          <w:i/>
          <w:color w:val="707173"/>
          <w:sz w:val="17"/>
        </w:rPr>
        <w:t>Documento emitido conforme al numeral 6 (criterios mínimos de aceptación) y al numeral 8 (garantía por severidad) de la Propuesta de alcance cerrado, revisión del 2 de septiembre de 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