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22B45"/>
          <w:sz w:val="32"/>
        </w:rPr>
        <w:t>ACUSE DEL CONTRATISTA</w:t>
      </w:r>
    </w:p>
    <w:p>
      <w:pPr>
        <w:spacing w:after="40"/>
      </w:pPr>
      <w:r>
        <w:rPr>
          <w:b w:val="0"/>
          <w:color w:val="5B6B7B"/>
          <w:sz w:val="22"/>
        </w:rPr>
        <w:t>MCD Delivery Mapping para Carlos · v1.0 · 2 de septiembre de 2026</w:t>
      </w:r>
    </w:p>
    <w:p>
      <w:pPr>
        <w:spacing w:after="240"/>
      </w:pPr>
      <w:r>
        <w:rPr>
          <w:b w:val="0"/>
          <w:color w:val="5B6B7B"/>
          <w:sz w:val="20"/>
        </w:rPr>
        <w:t>Baseline: MCD v1.3.81 (Reconciled 2026-09-01) · Selección LC-001 · 30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/>
            <w:r>
              <w:rPr>
                <w:b/>
                <w:color w:val="122B45"/>
                <w:sz w:val="19"/>
              </w:rPr>
              <w:t>Campo</w:t>
            </w:r>
          </w:p>
        </w:tc>
        <w:tc>
          <w:tcPr>
            <w:tcW w:type="dxa" w:w="5000"/>
          </w:tcPr>
          <w:p>
            <w:r/>
            <w:r>
              <w:rPr>
                <w:b/>
                <w:color w:val="122B45"/>
                <w:sz w:val="19"/>
              </w:rPr>
              <w:t>Registro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9"/>
              </w:rPr>
              <w:t>Contratista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Carlos Andrés Angola Berrio · C.C. 1.118.201.113 expedida en Villanueva, Casanare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9"/>
              </w:rPr>
              <w:t>Documento recibido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MCD_Delivery_Mapping_para_Carlos_v1.0_2026-09-02.docx y Master_Content_Database_v1.3.81_Reconciled_2026-09-01.xlsx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9"/>
              </w:rPr>
              <w:t>Fecha del acuse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3 de septiembre de 2026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9"/>
              </w:rPr>
              <w:t>Acuse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Recibí y leí el Delivery Mapping v1.0 completo. Acepto su límite de autoridad (§ Límite): no modifica las cinco fuentes, no convierte el MCD en Current Master y no autoriza publicación ni producción. Implemento el mapping lógico tal como está escrito; los nombres físicos se documentan sin alterarlo (C-03). Ningún registro se considera production-ready hasta cerrar import, audio, playback, publication-readiness, entitlement, security y rollback (§9, STOP RELEASE).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22B45"/>
          <w:sz w:val="24"/>
        </w:rPr>
        <w:t>Observaciones y estado de los controles pendientes (§ Cierre requerido)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/>
            <w:r>
              <w:rPr>
                <w:b/>
                <w:color w:val="122B45"/>
                <w:sz w:val="19"/>
              </w:rPr>
              <w:t>ID</w:t>
            </w:r>
          </w:p>
        </w:tc>
        <w:tc>
          <w:tcPr>
            <w:tcW w:type="dxa" w:w="2500"/>
          </w:tcPr>
          <w:p>
            <w:r/>
            <w:r>
              <w:rPr>
                <w:b/>
                <w:color w:val="122B45"/>
                <w:sz w:val="19"/>
              </w:rPr>
              <w:t>Control</w:t>
            </w:r>
          </w:p>
        </w:tc>
        <w:tc>
          <w:tcPr>
            <w:tcW w:type="dxa" w:w="2500"/>
          </w:tcPr>
          <w:p>
            <w:r/>
            <w:r>
              <w:rPr>
                <w:b/>
                <w:color w:val="122B45"/>
                <w:sz w:val="19"/>
              </w:rPr>
              <w:t>Respuesta del contratista</w:t>
            </w:r>
          </w:p>
        </w:tc>
        <w:tc>
          <w:tcPr>
            <w:tcW w:type="dxa" w:w="2500"/>
          </w:tcPr>
          <w:p>
            <w:r/>
            <w:r>
              <w:rPr>
                <w:b/>
                <w:color w:val="122B45"/>
                <w:sz w:val="19"/>
              </w:rPr>
              <w:t>Estado</w:t>
            </w:r>
          </w:p>
        </w:tc>
      </w:tr>
      <w:tr>
        <w:tc>
          <w:tcPr>
            <w:tcW w:type="dxa" w:w="2500"/>
          </w:tcPr>
          <w:p>
            <w:r/>
            <w:r>
              <w:rPr>
                <w:sz w:val="19"/>
              </w:rPr>
              <w:t>C-01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Convención de nombres de audio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Propongo: {TermID}_US.{ext} y {TermID}_UK.{ext}, TermID en mayúsculas exactamente como en el MCD; ext ∈ mp3, m4a, wav, ogg. Ejemplos: CON-001_US.mp3, EMP-009_UK.mp3. Un archivo por Term y jurisdicción; repetir el nombre reemplaza el asset. La carga masiva asocia por nombre y rechaza (con motivo) todo nombre que no coincida con un TermID existente. Almacenamiento: bucket privado term-audio, ruta {TermID}/us.{ext} | {TermID}/uk.{ext}; el Learner reproduce por URL firmada de corta duración.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Propuesto · requiere aprobación de la Owner antes del Hito B</w:t>
            </w:r>
          </w:p>
        </w:tc>
      </w:tr>
      <w:tr>
        <w:tc>
          <w:tcPr>
            <w:tcW w:type="dxa" w:w="2500"/>
          </w:tcPr>
          <w:p>
            <w:r/>
            <w:r>
              <w:rPr>
                <w:sz w:val="19"/>
              </w:rPr>
              <w:t>C-02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Quiz 3–4 opciones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Acuso por escrito: OptionD es nullable; el quiz admite tres o cuatro opciones; CorrectOption debe apuntar a una opción poblada. La Asunción C de la propuesta queda corregida en la revisión del 3 de septiembre de 2026 (18 quizzes de 4 opciones y 12 de 3 en el baseline).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Acusado</w:t>
            </w:r>
          </w:p>
        </w:tc>
      </w:tr>
      <w:tr>
        <w:tc>
          <w:tcPr>
            <w:tcW w:type="dxa" w:w="2500"/>
          </w:tcPr>
          <w:p>
            <w:r/>
            <w:r>
              <w:rPr>
                <w:sz w:val="19"/>
              </w:rPr>
              <w:t>C-03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Physical schema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Documentado en supabase/migrations/001–004: terms (id text = TermID, category con CHECK de tres valores canónicos, display_order, mcd_status, source_editorial_version, source_last_reviewed_at, source_workbook_version, source_content_hash, audio_us_path, audio_uk_path, us_variant/uk_variant/use_it_with/in_context jsonb), quiz_items (option_d nullable, correct_option CHECK A–D), user_term_progress (state new/learning/mastered), subscriptions, import_runs, billing_events. El mapping lógico no se altera; la matriz campo a campo se entrega con el documento de arquitectura del Hito A.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Documentado</w:t>
            </w:r>
          </w:p>
        </w:tc>
      </w:tr>
      <w:tr>
        <w:tc>
          <w:tcPr>
            <w:tcW w:type="dxa" w:w="2500"/>
          </w:tcPr>
          <w:p>
            <w:r/>
            <w:r>
              <w:rPr>
                <w:sz w:val="19"/>
              </w:rPr>
              <w:t>C-04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External import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Implementado y probado en el alpha: carga inicial (30/30, 10/10/10, 0 Published), reimportación idempotente (mismo ID + mismo hash → 30 unchanged, sin tocar timestamps editoriales), rechazo de archivo inválido con reporte hoja/fila/ID/campo/valor/regla/severidad, y rollback que restaura el snapshot previo del lote (counts e IDs equivalentes). La evidencia formal se entrega en el TEST REQUIRED del Hito B, en ambiente de prueba.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En curso · evidencia en Hito B</w:t>
            </w:r>
          </w:p>
        </w:tc>
      </w:tr>
      <w:tr>
        <w:tc>
          <w:tcPr>
            <w:tcW w:type="dxa" w:w="2500"/>
          </w:tcPr>
          <w:p>
            <w:r/>
            <w:r>
              <w:rPr>
                <w:sz w:val="19"/>
              </w:rPr>
              <w:t>C-05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Audio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Flujo listo para recibir los 30 AudioUS y el AudioUK de EMP-009: carga individual desde el editor del Term, carga masiva por nombre, reemplazo, retiro y excepciones listadas. Retirar AudioUS (o AudioUK en EMP-009) devuelve el Term a borrador. Playback US/UK en el Learner. Pendiente: recibir los archivos producidos por la Owner.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Pendiente de audios</w:t>
            </w:r>
          </w:p>
        </w:tc>
      </w:tr>
      <w:tr>
        <w:tc>
          <w:tcPr>
            <w:tcW w:type="dxa" w:w="2500"/>
          </w:tcPr>
          <w:p>
            <w:r/>
            <w:r>
              <w:rPr>
                <w:sz w:val="19"/>
              </w:rPr>
              <w:t>C-06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Publication readiness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La compuerta de publicación exige quiz completo (≥3 opciones, puntero válido), AudioUS y AudioUK aplicable, y categoría canónica. Se vuelve a correr después de import y audio. El Vocabulary Dependency Gate se ejecuta con la Owner en la revisión del Hito B.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Pendiente · después de audio</w:t>
            </w:r>
          </w:p>
        </w:tc>
      </w:tr>
      <w:tr>
        <w:tc>
          <w:tcPr>
            <w:tcW w:type="dxa" w:w="2500"/>
          </w:tcPr>
          <w:p>
            <w:r/>
            <w:r>
              <w:rPr>
                <w:sz w:val="19"/>
              </w:rPr>
              <w:t>C-07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Release gates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Entitlement: máquina de estados active / past_due (gracia de 5 días) / payment_failed / cancelled (acceso hasta fin de periodo) / expired, con reconciliación idempotente y verificación de firma del webhook de Mercado Pago. Security: RLS por tabla y pruebas diferenciales Owner vs dos Learners. Rollback: ver C-04. La evidencia de los tres cierra en el Hito C antes de producción.</w:t>
            </w:r>
          </w:p>
        </w:tc>
        <w:tc>
          <w:tcPr>
            <w:tcW w:type="dxa" w:w="2500"/>
          </w:tcPr>
          <w:p>
            <w:r/>
            <w:r>
              <w:rPr>
                <w:sz w:val="19"/>
              </w:rPr>
              <w:t>Pendiente · Hito C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22B45"/>
          <w:sz w:val="24"/>
        </w:rPr>
        <w:t>Referencias de la propuesta afectadas</w:t>
      </w:r>
    </w:p>
    <w:p>
      <w:pPr>
        <w:spacing w:after="280"/>
      </w:pPr>
      <w:r>
        <w:rPr>
          <w:b w:val="0"/>
          <w:sz w:val="21"/>
        </w:rPr>
        <w:t>Propuesta MVP · revisión del 3 de septiembre de 2026: numerales 2, 3, 5 y 6; Hito B; supuestos A, C y E. La Asunción E incorpora la convención C-01 y la regla de publicación bloqueada sin AudioUS. Este acuse no modifica precio, alcance ni plazo de la propuesta.</w:t>
      </w:r>
    </w:p>
    <w:p>
      <w:pPr>
        <w:spacing w:after="0"/>
      </w:pPr>
      <w:r>
        <w:rPr>
          <w:b w:val="0"/>
          <w:color w:val="5B6B7B"/>
          <w:sz w:val="21"/>
        </w:rPr>
        <w:t>_____________________________________________</w:t>
      </w:r>
    </w:p>
    <w:p>
      <w:pPr>
        <w:spacing w:after="0"/>
      </w:pPr>
      <w:r>
        <w:rPr>
          <w:b/>
          <w:sz w:val="21"/>
        </w:rPr>
        <w:t>Carlos Andrés Angola Berrio</w:t>
      </w:r>
    </w:p>
    <w:p>
      <w:pPr>
        <w:spacing w:after="0"/>
      </w:pPr>
      <w:r>
        <w:rPr>
          <w:b w:val="0"/>
          <w:color w:val="5B6B7B"/>
          <w:sz w:val="21"/>
        </w:rPr>
        <w:t>C.C. 1.118.201.113 expedida en Villanueva, Casanare</w:t>
      </w:r>
    </w:p>
    <w:p>
      <w:pPr>
        <w:spacing w:after="120"/>
        <w:jc w:val="left"/>
      </w:pPr>
      <w:r>
        <w:rPr>
          <w:b w:val="0"/>
          <w:color w:val="5B6B7B"/>
          <w:sz w:val="21"/>
        </w:rPr>
        <w:t>Villanueva, Casanare · 3 de septiembre de 2026</w:t>
      </w:r>
    </w:p>
    <w:sectPr w:rsidR="00FC693F" w:rsidRPr="0006063C" w:rsidSect="00034616">
      <w:pgSz w:w="12240" w:h="15840"/>
      <w:pgMar w:top="1000" w:right="1120" w:bottom="100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