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7B8A94"/>
          <w:sz w:val="17"/>
        </w:rPr>
        <w:t>VAN ISLE WATERPROOFING+  ·  STATUS</w:t>
      </w:r>
    </w:p>
    <w:p>
      <w:pPr>
        <w:spacing w:after="80" w:before="0"/>
      </w:pPr>
      <w:r>
        <w:rPr>
          <w:b/>
          <w:color w:val="15212A"/>
          <w:sz w:val="48"/>
        </w:rPr>
        <w:t>Warehouse Wizard launch readiness</w:t>
      </w:r>
    </w:p>
    <w:p>
      <w:pPr>
        <w:spacing w:after="200" w:before="0"/>
      </w:pPr>
      <w:r>
        <w:rPr>
          <w:color w:val="53636E"/>
          <w:sz w:val="24"/>
        </w:rPr>
        <w:t>Everything I need from you before the crew starts using it, and what's changed since we last spoke.</w:t>
      </w:r>
    </w:p>
    <w:p>
      <w:pPr>
        <w:spacing w:after="280" w:before="0"/>
      </w:pPr>
      <w:r>
        <w:rPr>
          <w:b w:val="0"/>
          <w:color w:val="53636E"/>
          <w:sz w:val="19"/>
        </w:rPr>
        <w:t>24 September 2026</w:t>
      </w:r>
      <w:r>
        <w:rPr>
          <w:b w:val="0"/>
          <w:color w:val="15212A"/>
          <w:sz w:val="19"/>
        </w:rPr>
        <w:t xml:space="preserve">     </w:t>
      </w:r>
      <w:r>
        <w:rPr>
          <w:b/>
          <w:color w:val="9E211A"/>
          <w:sz w:val="19"/>
        </w:rPr>
        <w:t>8 days to soft launch</w:t>
      </w:r>
      <w:r>
        <w:rPr>
          <w:b w:val="0"/>
          <w:color w:val="15212A"/>
          <w:sz w:val="19"/>
        </w:rPr>
        <w:t xml:space="preserve">     </w:t>
      </w:r>
      <w:r>
        <w:rPr>
          <w:b w:val="0"/>
          <w:color w:val="7B8A94"/>
          <w:sz w:val="19"/>
        </w:rPr>
        <w:t>Warehouse Wizard · Crew+ · SOP+</w:t>
      </w:r>
    </w:p>
    <w:tbl>
      <w:tblPr>
        <w:tblW w:type="auto" w:w="0"/>
        <w:jc w:val="center"/>
        <w:tblLook w:firstColumn="1" w:firstRow="1" w:lastColumn="0" w:lastRow="0" w:noHBand="0" w:noVBand="1" w:val="04A0"/>
      </w:tblPr>
      <w:tblGrid>
        <w:gridCol w:w="9360"/>
      </w:tblGrid>
      <w:tr>
        <w:tc>
          <w:tcPr>
            <w:tcW w:type="dxa" w:w="9360"/>
            <w:shd w:val="clear" w:fill="FBE9E7"/>
            <w:tcBorders>
              <w:left w:val="single" w:sz="24" w:color="9E211A"/>
            </w:tcBorders>
          </w:tcPr>
          <w:p>
            <w:pPr>
              <w:spacing w:after="120" w:before="160"/>
              <w:ind w:left="160" w:right="160"/>
            </w:pPr>
            <w:r/>
            <w:r>
              <w:rPr>
                <w:b/>
                <w:caps/>
                <w:color w:val="9E211A"/>
                <w:sz w:val="16"/>
              </w:rPr>
              <w:t>Blocks the launch</w:t>
            </w:r>
          </w:p>
          <w:p>
            <w:pPr>
              <w:spacing w:after="120"/>
              <w:ind w:left="160" w:right="160"/>
            </w:pPr>
            <w:r>
              <w:rPr>
                <w:b/>
                <w:color w:val="15212A"/>
                <w:sz w:val="26"/>
              </w:rPr>
              <w:t>The login list is wrong for 11 of the 12 people on it</w:t>
            </w:r>
          </w:p>
          <w:p>
            <w:pPr>
              <w:spacing w:after="120"/>
              <w:ind w:left="160" w:right="160"/>
            </w:pPr>
            <w:r>
              <w:rPr>
                <w:color w:val="15212A"/>
                <w:sz w:val="21"/>
              </w:rPr>
              <w:t>The “Email (for login)” column in the credentials sheet doesn’t match the accounts that exist. Those personal Gmail and Outlook addresses look like contact emails that ended up under the wrong heading — there are no accounts behind them.</w:t>
            </w:r>
          </w:p>
          <w:p>
            <w:pPr>
              <w:spacing w:after="120"/>
              <w:ind w:left="160" w:right="160"/>
            </w:pPr>
            <w:r>
              <w:rPr>
                <w:b w:val="0"/>
                <w:color w:val="15212A"/>
                <w:sz w:val="22"/>
              </w:rPr>
              <w:t xml:space="preserve">The real login is the </w:t>
            </w:r>
            <w:r>
              <w:rPr>
                <w:b/>
                <w:color w:val="15212A"/>
                <w:sz w:val="22"/>
              </w:rPr>
              <w:t>Username</w:t>
            </w:r>
            <w:r>
              <w:rPr>
                <w:b w:val="0"/>
                <w:color w:val="15212A"/>
                <w:sz w:val="22"/>
              </w:rPr>
              <w:t xml:space="preserve"> column, followed by </w:t>
            </w:r>
            <w:r>
              <w:rPr>
                <w:b/>
                <w:color w:val="15212A"/>
                <w:sz w:val="22"/>
              </w:rPr>
              <w:t>@vanislecoatings.com</w:t>
            </w:r>
            <w:r>
              <w:rPr>
                <w:b w:val="0"/>
                <w:color w:val="15212A"/>
                <w:sz w:val="22"/>
              </w:rPr>
              <w:t>:</w:t>
            </w:r>
          </w:p>
          <w:p>
            <w:pPr>
              <w:spacing w:after="120"/>
              <w:ind w:left="160" w:right="160"/>
            </w:pPr>
            <w:r>
              <w:rPr>
                <w:rFonts w:ascii="Consolas" w:hAnsi="Consolas"/>
                <w:color w:val="0F5F76"/>
                <w:sz w:val="20"/>
              </w:rPr>
              <w:t>Jordan    estimating@shaw.ca  →  jrogers@vanislecoatings.com</w:t>
            </w:r>
          </w:p>
          <w:p>
            <w:pPr>
              <w:spacing w:after="120"/>
              <w:ind w:left="160" w:right="160"/>
            </w:pPr>
            <w:r>
              <w:rPr>
                <w:color w:val="15212A"/>
                <w:sz w:val="21"/>
              </w:rPr>
              <w:t>I’ve tested both: the listed address is rejected, the username one signs in with the same temporary password. Tara’s row is the only one that’s already correct.</w:t>
            </w:r>
          </w:p>
          <w:p>
            <w:pPr>
              <w:spacing w:after="200"/>
              <w:ind w:left="160" w:right="160"/>
            </w:pPr>
            <w:r>
              <w:rPr>
                <w:color w:val="15212A"/>
                <w:sz w:val="21"/>
              </w:rPr>
              <w:t>If the sheet goes out as it stands, eleven people hit “invalid login” on their first try — on day one, in front of the crew. It’s a five-minute fix to the spreadsheet and nothing else depends on it.</w:t>
            </w:r>
          </w:p>
        </w:tc>
      </w:tr>
    </w:tbl>
    <w:p>
      <w:pPr>
        <w:spacing w:after="40"/>
      </w:pPr>
    </w:p>
    <w:p>
      <w:pPr>
        <w:spacing w:after="120" w:before="340"/>
        <w:pBdr>
          <w:bottom w:val="single" w:sz="6" w:space="4" w:color="DDE3E6"/>
        </w:pBdr>
      </w:pPr>
      <w:r>
        <w:rPr>
          <w:b/>
          <w:i w:val="0"/>
          <w:color w:val="15212A"/>
          <w:sz w:val="28"/>
        </w:rPr>
        <w:t>Two other things worth knowing about the accounts</w:t>
      </w:r>
    </w:p>
    <w:p>
      <w:pPr>
        <w:pStyle w:val="ListBullet"/>
        <w:spacing w:after="100"/>
      </w:pPr>
      <w:r>
        <w:rPr>
          <w:b/>
          <w:color w:val="15212A"/>
          <w:sz w:val="22"/>
        </w:rPr>
        <w:t xml:space="preserve">Seventeen accounts exist; the sheet lists twelve. </w:t>
      </w:r>
      <w:r>
        <w:rPr>
          <w:b w:val="0"/>
          <w:color w:val="15212A"/>
          <w:sz w:val="22"/>
        </w:rPr>
        <w:t>Five people have working logins but aren’t on it: Matthew Chester, Dominik, Vitalli, Logan Pardy and Joshua Murray.</w:t>
      </w:r>
    </w:p>
    <w:p>
      <w:pPr>
        <w:pStyle w:val="ListBullet"/>
        <w:spacing w:after="100"/>
      </w:pPr>
      <w:r>
        <w:rPr>
          <w:b/>
          <w:color w:val="15212A"/>
          <w:sz w:val="22"/>
        </w:rPr>
        <w:t xml:space="preserve">The last row, “Tayo”, has no username and no password </w:t>
      </w:r>
      <w:r>
        <w:rPr>
          <w:b w:val="0"/>
          <w:color w:val="15212A"/>
          <w:sz w:val="22"/>
        </w:rPr>
        <w:t>— so that person currently has no way in at all.</w:t>
      </w:r>
    </w:p>
    <w:p>
      <w:pPr>
        <w:spacing w:after="80" w:before="0"/>
      </w:pPr>
      <w:r>
        <w:rPr>
          <w:b w:val="0"/>
          <w:i w:val="0"/>
          <w:color w:val="15212A"/>
          <w:sz w:val="22"/>
        </w:rPr>
        <w:t>Tell me who’s actually starting on the 2nd and I’ll square the list up.</w:t>
      </w:r>
    </w:p>
    <w:p>
      <w:pPr>
        <w:spacing w:after="120" w:before="340"/>
        <w:pBdr>
          <w:bottom w:val="single" w:sz="6" w:space="4" w:color="DDE3E6"/>
        </w:pBdr>
      </w:pPr>
      <w:r>
        <w:rPr>
          <w:b/>
          <w:i w:val="0"/>
          <w:color w:val="15212A"/>
          <w:sz w:val="28"/>
        </w:rPr>
        <w:t>What’s changed since we last spoke</w:t>
      </w:r>
    </w:p>
    <w:p>
      <w:pPr>
        <w:pStyle w:val="ListBullet"/>
        <w:spacing w:after="100"/>
      </w:pPr>
      <w:r>
        <w:rPr>
          <w:b/>
          <w:color w:val="15212A"/>
          <w:sz w:val="22"/>
        </w:rPr>
        <w:t xml:space="preserve">The 67 daily logs are visible again. </w:t>
      </w:r>
      <w:r>
        <w:rPr>
          <w:b w:val="0"/>
          <w:color w:val="15212A"/>
          <w:sz w:val="22"/>
        </w:rPr>
        <w:t>They were in the system but hidden from everyone by a permissions setting. Jordan can now work through the full history in Daily Log and under Reports.</w:t>
      </w:r>
    </w:p>
    <w:p>
      <w:pPr>
        <w:pStyle w:val="ListBullet"/>
        <w:spacing w:after="100"/>
      </w:pPr>
      <w:r>
        <w:rPr>
          <w:b/>
          <w:color w:val="15212A"/>
          <w:sz w:val="22"/>
        </w:rPr>
        <w:t xml:space="preserve">Daily logs actually save now. </w:t>
      </w:r>
      <w:r>
        <w:rPr>
          <w:b w:val="0"/>
          <w:color w:val="15212A"/>
          <w:sz w:val="22"/>
        </w:rPr>
        <w:t>Submitting one used to show a success message and store nothing. No real entries were lost — the last one in the system was 2 September, so nobody had started relying on it yet.</w:t>
      </w:r>
    </w:p>
    <w:p>
      <w:pPr>
        <w:pStyle w:val="ListBullet"/>
        <w:spacing w:after="100"/>
      </w:pPr>
      <w:r>
        <w:rPr>
          <w:b/>
          <w:color w:val="15212A"/>
          <w:sz w:val="22"/>
        </w:rPr>
        <w:t xml:space="preserve">Logging materials no longer double-counts. </w:t>
      </w:r>
      <w:r>
        <w:rPr>
          <w:b w:val="0"/>
          <w:color w:val="15212A"/>
          <w:sz w:val="22"/>
        </w:rPr>
        <w:t>A single submission could deduct the same material from stock more than once.</w:t>
      </w:r>
    </w:p>
    <w:p>
      <w:pPr>
        <w:pStyle w:val="ListBullet"/>
        <w:spacing w:after="100"/>
      </w:pPr>
      <w:r>
        <w:rPr>
          <w:b/>
          <w:color w:val="15212A"/>
          <w:sz w:val="22"/>
        </w:rPr>
        <w:t xml:space="preserve">Every section is reachable on a phone, </w:t>
      </w:r>
      <w:r>
        <w:rPr>
          <w:b w:val="0"/>
          <w:color w:val="15212A"/>
          <w:sz w:val="22"/>
        </w:rPr>
        <w:t>and buttons are now a proper finger-sized target rather than something you aim at with gloves on.</w:t>
      </w:r>
    </w:p>
    <w:tbl>
      <w:tblPr>
        <w:tblW w:type="auto" w:w="0"/>
        <w:jc w:val="center"/>
        <w:tblLook w:firstColumn="1" w:firstRow="1" w:lastColumn="0" w:lastRow="0" w:noHBand="0" w:noVBand="1" w:val="04A0"/>
      </w:tblPr>
      <w:tblGrid>
        <w:gridCol w:w="9360"/>
      </w:tblGrid>
      <w:tr>
        <w:tc>
          <w:tcPr>
            <w:tcW w:type="dxa" w:w="9360"/>
            <w:shd w:val="clear" w:fill="EEF2F4"/>
            <w:tcBorders>
              <w:left w:val="single" w:sz="24" w:color="0F5F76"/>
            </w:tcBorders>
          </w:tcPr>
          <w:p>
            <w:pPr>
              <w:spacing w:after="200" w:before="160"/>
              <w:ind w:left="160" w:right="160"/>
            </w:pPr>
            <w:r/>
            <w:r>
              <w:rPr>
                <w:b/>
                <w:color w:val="15212A"/>
                <w:sz w:val="22"/>
              </w:rPr>
              <w:t xml:space="preserve">One I want to flag directly. </w:t>
            </w:r>
            <w:r>
              <w:rPr>
                <w:b w:val="0"/>
                <w:color w:val="15212A"/>
                <w:sz w:val="22"/>
              </w:rPr>
              <w:t>While reviewing what each role can see, I found three places where the crew could reach material costs — the price-change list on the home screen, and the dollar totals on two of the stock charts, including a $43,969 reorder figure. Costs were correctly hidden on Inventory and Tremco, but those three screens had been missed. All fixed and checked role by role. Worth knowing because it’s your policy, not a preference of mine.</w:t>
            </w:r>
          </w:p>
        </w:tc>
      </w:tr>
    </w:tbl>
    <w:p>
      <w:pPr>
        <w:spacing w:after="40"/>
      </w:pPr>
    </w:p>
    <w:p>
      <w:pPr>
        <w:spacing w:after="120" w:before="340"/>
        <w:pBdr>
          <w:bottom w:val="single" w:sz="6" w:space="4" w:color="DDE3E6"/>
        </w:pBdr>
      </w:pPr>
      <w:r>
        <w:rPr>
          <w:b/>
          <w:i w:val="0"/>
          <w:color w:val="15212A"/>
          <w:sz w:val="28"/>
        </w:rPr>
        <w:t>Questions for when you’re back</w:t>
      </w:r>
    </w:p>
    <w:p>
      <w:pPr>
        <w:spacing w:after="40" w:before="280"/>
      </w:pPr>
      <w:r>
        <w:rPr>
          <w:b/>
          <w:color w:val="15212A"/>
          <w:sz w:val="24"/>
        </w:rPr>
        <w:t>Costs for twelve materials</w:t>
      </w:r>
      <w:r>
        <w:rPr>
          <w:b/>
          <w:caps/>
          <w:color w:val="9E211A"/>
          <w:sz w:val="16"/>
        </w:rPr>
        <w:t xml:space="preserve">   Before Oct 2</w:t>
      </w:r>
    </w:p>
    <w:p>
      <w:pPr>
        <w:spacing w:after="160" w:before="0"/>
      </w:pPr>
      <w:r>
        <w:rPr>
          <w:b w:val="0"/>
          <w:color w:val="53636E"/>
          <w:sz w:val="21"/>
        </w:rPr>
        <w:t xml:space="preserve">These twelve have no cost recorded, so reorder totals and the loss figures are understated until they do. Two need a decision as well as a number: which </w:t>
      </w:r>
      <w:r>
        <w:rPr>
          <w:b/>
          <w:color w:val="53636E"/>
          <w:sz w:val="21"/>
        </w:rPr>
        <w:t>Backer Rod</w:t>
      </w:r>
      <w:r>
        <w:rPr>
          <w:b w:val="0"/>
          <w:color w:val="53636E"/>
          <w:sz w:val="21"/>
        </w:rPr>
        <w:t xml:space="preserve"> size you buy, and which </w:t>
      </w:r>
      <w:r>
        <w:rPr>
          <w:b/>
          <w:color w:val="53636E"/>
          <w:sz w:val="21"/>
        </w:rPr>
        <w:t>SealBoss</w:t>
      </w:r>
      <w:r>
        <w:rPr>
          <w:b w:val="0"/>
          <w:color w:val="53636E"/>
          <w:sz w:val="21"/>
        </w:rPr>
        <w:t xml:space="preserve"> injection product.</w:t>
      </w:r>
    </w:p>
    <w:tbl>
      <w:tblPr>
        <w:tblStyle w:val="TableGrid"/>
        <w:tblW w:type="auto" w:w="0"/>
        <w:tblLook w:firstColumn="1" w:firstRow="1" w:lastColumn="0" w:lastRow="0" w:noHBand="0" w:noVBand="1" w:val="04A0"/>
      </w:tblPr>
      <w:tblGrid>
        <w:gridCol w:w="4680"/>
        <w:gridCol w:w="4680"/>
      </w:tblGrid>
      <w:tr>
        <w:tc>
          <w:tcPr>
            <w:tcW w:type="dxa" w:w="4680"/>
            <w:shd w:val="clear" w:fill="FFFFFF"/>
          </w:tcPr>
          <w:p>
            <w:pPr>
              <w:spacing w:after="40" w:before="40"/>
              <w:ind w:left="120"/>
            </w:pPr>
            <w:r/>
            <w:r>
              <w:rPr>
                <w:color w:val="53636E"/>
                <w:sz w:val="20"/>
              </w:rPr>
              <w:t>Backer Rod</w:t>
            </w:r>
          </w:p>
        </w:tc>
        <w:tc>
          <w:tcPr>
            <w:tcW w:type="dxa" w:w="4680"/>
            <w:shd w:val="clear" w:fill="FFFFFF"/>
          </w:tcPr>
          <w:p>
            <w:pPr>
              <w:spacing w:after="40" w:before="40"/>
              <w:ind w:left="120"/>
            </w:pPr>
            <w:r/>
            <w:r>
              <w:rPr>
                <w:color w:val="53636E"/>
                <w:sz w:val="20"/>
              </w:rPr>
              <w:t>Dap caulking (white)</w:t>
            </w:r>
          </w:p>
        </w:tc>
      </w:tr>
      <w:tr>
        <w:tc>
          <w:tcPr>
            <w:tcW w:type="dxa" w:w="4680"/>
            <w:shd w:val="clear" w:fill="FFFFFF"/>
          </w:tcPr>
          <w:p>
            <w:pPr>
              <w:spacing w:after="40" w:before="40"/>
              <w:ind w:left="120"/>
            </w:pPr>
            <w:r/>
            <w:r>
              <w:rPr>
                <w:color w:val="53636E"/>
                <w:sz w:val="20"/>
              </w:rPr>
              <w:t>Seal Boss catalyst</w:t>
            </w:r>
          </w:p>
        </w:tc>
        <w:tc>
          <w:tcPr>
            <w:tcW w:type="dxa" w:w="4680"/>
            <w:shd w:val="clear" w:fill="FFFFFF"/>
          </w:tcPr>
          <w:p>
            <w:pPr>
              <w:spacing w:after="40" w:before="40"/>
              <w:ind w:left="120"/>
            </w:pPr>
            <w:r/>
            <w:r>
              <w:rPr>
                <w:color w:val="53636E"/>
                <w:sz w:val="20"/>
              </w:rPr>
              <w:t>TREMPROOF 260 5 gallon pail</w:t>
            </w:r>
          </w:p>
        </w:tc>
      </w:tr>
      <w:tr>
        <w:tc>
          <w:tcPr>
            <w:tcW w:type="dxa" w:w="4680"/>
            <w:shd w:val="clear" w:fill="FFFFFF"/>
          </w:tcPr>
          <w:p>
            <w:pPr>
              <w:spacing w:after="40" w:before="40"/>
              <w:ind w:left="120"/>
            </w:pPr>
            <w:r/>
            <w:r>
              <w:rPr>
                <w:color w:val="53636E"/>
                <w:sz w:val="20"/>
              </w:rPr>
              <w:t>Injection Resin</w:t>
            </w:r>
          </w:p>
        </w:tc>
        <w:tc>
          <w:tcPr>
            <w:tcW w:type="dxa" w:w="4680"/>
            <w:shd w:val="clear" w:fill="FFFFFF"/>
          </w:tcPr>
          <w:p>
            <w:pPr>
              <w:spacing w:after="40" w:before="40"/>
              <w:ind w:left="120"/>
            </w:pPr>
            <w:r/>
            <w:r>
              <w:rPr>
                <w:color w:val="53636E"/>
                <w:sz w:val="20"/>
              </w:rPr>
              <w:t>Warm &amp; Dri Board</w:t>
            </w:r>
          </w:p>
        </w:tc>
      </w:tr>
      <w:tr>
        <w:tc>
          <w:tcPr>
            <w:tcW w:type="dxa" w:w="4680"/>
            <w:shd w:val="clear" w:fill="FFFFFF"/>
          </w:tcPr>
          <w:p>
            <w:pPr>
              <w:spacing w:after="40" w:before="40"/>
              <w:ind w:left="120"/>
            </w:pPr>
            <w:r/>
            <w:r>
              <w:rPr>
                <w:color w:val="53636E"/>
                <w:sz w:val="20"/>
              </w:rPr>
              <w:t>Drainstar drain mat</w:t>
            </w:r>
          </w:p>
        </w:tc>
        <w:tc>
          <w:tcPr>
            <w:tcW w:type="dxa" w:w="4680"/>
            <w:shd w:val="clear" w:fill="FFFFFF"/>
          </w:tcPr>
          <w:p>
            <w:pPr>
              <w:spacing w:after="40" w:before="40"/>
              <w:ind w:left="120"/>
            </w:pPr>
            <w:r/>
            <w:r>
              <w:rPr>
                <w:color w:val="53636E"/>
                <w:sz w:val="20"/>
              </w:rPr>
              <w:t>Poly plastic protection roll</w:t>
            </w:r>
          </w:p>
        </w:tc>
      </w:tr>
      <w:tr>
        <w:tc>
          <w:tcPr>
            <w:tcW w:type="dxa" w:w="4680"/>
            <w:shd w:val="clear" w:fill="FFFFFF"/>
          </w:tcPr>
          <w:p>
            <w:pPr>
              <w:spacing w:after="40" w:before="40"/>
              <w:ind w:left="120"/>
            </w:pPr>
            <w:r/>
            <w:r>
              <w:rPr>
                <w:color w:val="53636E"/>
                <w:sz w:val="20"/>
              </w:rPr>
              <w:t>Drainmat Glue</w:t>
            </w:r>
          </w:p>
        </w:tc>
        <w:tc>
          <w:tcPr>
            <w:tcW w:type="dxa" w:w="4680"/>
            <w:shd w:val="clear" w:fill="FFFFFF"/>
          </w:tcPr>
          <w:p>
            <w:pPr>
              <w:spacing w:after="40" w:before="40"/>
              <w:ind w:left="120"/>
            </w:pPr>
            <w:r/>
            <w:r>
              <w:rPr>
                <w:color w:val="53636E"/>
                <w:sz w:val="20"/>
              </w:rPr>
              <w:t>QC90 — GableCraft</w:t>
            </w:r>
          </w:p>
        </w:tc>
      </w:tr>
      <w:tr>
        <w:tc>
          <w:tcPr>
            <w:tcW w:type="dxa" w:w="4680"/>
            <w:shd w:val="clear" w:fill="FFFFFF"/>
          </w:tcPr>
          <w:p>
            <w:pPr>
              <w:spacing w:after="40" w:before="40"/>
              <w:ind w:left="120"/>
            </w:pPr>
            <w:r/>
            <w:r>
              <w:rPr>
                <w:color w:val="53636E"/>
                <w:sz w:val="20"/>
              </w:rPr>
              <w:t>Dymonic 100 FC (White)</w:t>
            </w:r>
          </w:p>
        </w:tc>
        <w:tc>
          <w:tcPr>
            <w:tcW w:type="dxa" w:w="4680"/>
            <w:shd w:val="clear" w:fill="FFFFFF"/>
          </w:tcPr>
          <w:p>
            <w:pPr>
              <w:spacing w:after="40" w:before="40"/>
              <w:ind w:left="120"/>
            </w:pPr>
            <w:r/>
            <w:r>
              <w:rPr>
                <w:color w:val="53636E"/>
                <w:sz w:val="20"/>
              </w:rPr>
              <w:t>Paint Brushes</w:t>
            </w:r>
          </w:p>
        </w:tc>
      </w:tr>
    </w:tbl>
    <w:p>
      <w:pPr>
        <w:spacing w:after="40"/>
      </w:pPr>
    </w:p>
    <w:p>
      <w:pPr>
        <w:spacing w:after="40" w:before="280"/>
      </w:pPr>
      <w:r>
        <w:rPr>
          <w:b/>
          <w:color w:val="15212A"/>
          <w:sz w:val="24"/>
        </w:rPr>
        <w:t>Eleven test records to clear out</w:t>
      </w:r>
      <w:r>
        <w:rPr>
          <w:b/>
          <w:caps/>
          <w:color w:val="9E211A"/>
          <w:sz w:val="16"/>
        </w:rPr>
        <w:t xml:space="preserve">   Before Oct 2</w:t>
      </w:r>
    </w:p>
    <w:p>
      <w:pPr>
        <w:spacing w:after="160" w:before="0"/>
      </w:pPr>
      <w:r>
        <w:rPr>
          <w:b w:val="0"/>
          <w:color w:val="53636E"/>
          <w:sz w:val="21"/>
        </w:rPr>
        <w:t xml:space="preserve">Testing against the live system left eleven marked records behind — two maintenance requests on the Ford F150 (LY1180), a ticked truck task, a daily log, and some entries in Crew+. They’re all tagged </w:t>
      </w:r>
      <w:r>
        <w:rPr>
          <w:b/>
          <w:color w:val="53636E"/>
          <w:sz w:val="21"/>
        </w:rPr>
        <w:t>ZZTEST</w:t>
      </w:r>
      <w:r>
        <w:rPr>
          <w:b w:val="0"/>
          <w:color w:val="53636E"/>
          <w:sz w:val="21"/>
        </w:rPr>
        <w:t xml:space="preserve"> or </w:t>
      </w:r>
      <w:r>
        <w:rPr>
          <w:b/>
          <w:color w:val="53636E"/>
          <w:sz w:val="21"/>
        </w:rPr>
        <w:t>ZZTEST3</w:t>
      </w:r>
      <w:r>
        <w:rPr>
          <w:b w:val="0"/>
          <w:color w:val="53636E"/>
          <w:sz w:val="21"/>
        </w:rPr>
        <w:t xml:space="preserve"> so they’re easy to spot. </w:t>
      </w:r>
      <w:r>
        <w:rPr>
          <w:b/>
          <w:color w:val="53636E"/>
          <w:sz w:val="21"/>
        </w:rPr>
        <w:t>Say the word and I’ll clear them myself</w:t>
      </w:r>
      <w:r>
        <w:rPr>
          <w:b w:val="0"/>
          <w:color w:val="53636E"/>
          <w:sz w:val="21"/>
        </w:rPr>
        <w:t xml:space="preserve"> — I just don’t want to delete anything from your live system without asking.</w:t>
      </w:r>
    </w:p>
    <w:p>
      <w:pPr>
        <w:spacing w:after="40" w:before="280"/>
      </w:pPr>
      <w:r>
        <w:rPr>
          <w:b/>
          <w:color w:val="15212A"/>
          <w:sz w:val="24"/>
        </w:rPr>
        <w:t>September’s daily logs</w:t>
      </w:r>
      <w:r>
        <w:rPr>
          <w:b/>
          <w:caps/>
          <w:color w:val="0F5F76"/>
          <w:sz w:val="16"/>
        </w:rPr>
        <w:t xml:space="preserve">   Useful by Oct 2</w:t>
      </w:r>
    </w:p>
    <w:p>
      <w:pPr>
        <w:spacing w:after="160" w:before="0"/>
      </w:pPr>
      <w:r>
        <w:rPr>
          <w:b w:val="0"/>
          <w:color w:val="53636E"/>
          <w:sz w:val="21"/>
        </w:rPr>
        <w:t>The history currently stops at 2 September. If you want the rest of the month in there for the crew’s first week, I’ll need the paper logs or the export.</w:t>
      </w:r>
    </w:p>
    <w:p>
      <w:pPr>
        <w:spacing w:after="40" w:before="280"/>
      </w:pPr>
      <w:r>
        <w:rPr>
          <w:b/>
          <w:color w:val="15212A"/>
          <w:sz w:val="24"/>
        </w:rPr>
        <w:t>Should managers keep the Admin tab?</w:t>
      </w:r>
      <w:r>
        <w:rPr>
          <w:b/>
          <w:caps/>
          <w:color w:val="0F5F76"/>
          <w:sz w:val="16"/>
        </w:rPr>
        <w:t xml:space="preserve">   Useful by Oct 2</w:t>
      </w:r>
    </w:p>
    <w:p>
      <w:pPr>
        <w:spacing w:after="160" w:before="0"/>
      </w:pPr>
      <w:r>
        <w:rPr>
          <w:b w:val="0"/>
          <w:color w:val="53636E"/>
          <w:sz w:val="21"/>
        </w:rPr>
        <w:t>In Warehouse Wizard, Jesse can open Admin but most of the controls inside are switched off for him. It’s tidier to either hide the tab or turn the controls on — I just need to know which way you want it.</w:t>
      </w:r>
    </w:p>
    <w:p>
      <w:pPr>
        <w:spacing w:after="40" w:before="280"/>
      </w:pPr>
      <w:r>
        <w:rPr>
          <w:b/>
          <w:color w:val="15212A"/>
          <w:sz w:val="24"/>
        </w:rPr>
        <w:t>Who should be able to open incident photos?</w:t>
      </w:r>
      <w:r>
        <w:rPr>
          <w:b/>
          <w:caps/>
          <w:color w:val="7B8A94"/>
          <w:sz w:val="16"/>
        </w:rPr>
        <w:t xml:space="preserve">   Crew+, can wait</w:t>
      </w:r>
    </w:p>
    <w:p>
      <w:pPr>
        <w:spacing w:after="160" w:before="0"/>
      </w:pPr>
      <w:r>
        <w:rPr>
          <w:b w:val="0"/>
          <w:color w:val="53636E"/>
          <w:sz w:val="21"/>
        </w:rPr>
        <w:t>Photos are admin-only at the moment. But the people who confirm incident reports are the Crew Leads and yourself — so unless they’re set as admin, they’ll see that a photo is attached without being able to open it. Happy to open it up to whoever confirms reports, keeping onboarding documents admin-only.</w:t>
      </w:r>
    </w:p>
    <w:p>
      <w:pPr>
        <w:spacing w:after="40" w:before="280"/>
      </w:pPr>
      <w:r>
        <w:rPr>
          <w:b/>
          <w:color w:val="15212A"/>
          <w:sz w:val="24"/>
        </w:rPr>
        <w:t>Daily and monthly value rituals</w:t>
      </w:r>
      <w:r>
        <w:rPr>
          <w:b/>
          <w:caps/>
          <w:color w:val="7B8A94"/>
          <w:sz w:val="16"/>
        </w:rPr>
        <w:t xml:space="preserve">   Crew+, can wait</w:t>
      </w:r>
    </w:p>
    <w:p>
      <w:pPr>
        <w:spacing w:after="160" w:before="0"/>
      </w:pPr>
      <w:r>
        <w:rPr>
          <w:b w:val="0"/>
          <w:color w:val="53636E"/>
          <w:sz w:val="21"/>
        </w:rPr>
        <w:t>The points system has rules for daily, weekly and monthly rituals, but only the weekly prompt was ever written — so the other two can’t be earned. If you want them live, I need the wording for each.</w:t>
      </w:r>
    </w:p>
    <w:p>
      <w:pPr>
        <w:spacing w:after="40" w:before="280"/>
      </w:pPr>
      <w:r>
        <w:rPr>
          <w:b/>
          <w:color w:val="15212A"/>
          <w:sz w:val="24"/>
        </w:rPr>
        <w:t>The company feedback box</w:t>
      </w:r>
      <w:r>
        <w:rPr>
          <w:b/>
          <w:caps/>
          <w:color w:val="7B8A94"/>
          <w:sz w:val="16"/>
        </w:rPr>
        <w:t xml:space="preserve">   Crew+, can wait</w:t>
      </w:r>
    </w:p>
    <w:p>
      <w:pPr>
        <w:spacing w:after="160" w:before="0"/>
      </w:pPr>
      <w:r>
        <w:rPr>
          <w:b w:val="0"/>
          <w:color w:val="53636E"/>
          <w:sz w:val="21"/>
        </w:rPr>
        <w:t>This one’s now answered unless you disagree: it used to award points and throw the message away. It now stores what people write, visible to you and the person who wrote it, and not to managers — since it’s often a comment about management. Tell me if you’d rather managers saw it too.</w:t>
      </w:r>
    </w:p>
    <w:p>
      <w:pPr>
        <w:spacing w:after="120" w:before="340"/>
        <w:pBdr>
          <w:bottom w:val="single" w:sz="6" w:space="4" w:color="DDE3E6"/>
        </w:pBdr>
      </w:pPr>
      <w:r>
        <w:rPr>
          <w:b/>
          <w:i w:val="0"/>
          <w:color w:val="15212A"/>
          <w:sz w:val="28"/>
        </w:rPr>
        <w:t>Not blocking the 2nd</w:t>
      </w:r>
    </w:p>
    <w:p>
      <w:pPr>
        <w:spacing w:after="200" w:before="0"/>
      </w:pPr>
      <w:r>
        <w:rPr>
          <w:b w:val="0"/>
          <w:i w:val="0"/>
          <w:color w:val="15212A"/>
          <w:sz w:val="22"/>
        </w:rPr>
        <w:t>Crew+ and SOP+ both have outstanding work, but none of it touches Warehouse Wizard, so it can wait until you’re back. One small thing sits with me rather than you: a change to how peer recognition points are awarded in Crew+ needs a deployment step I can’t run from here. It only affects Crew+, so it won’t hold anything up on the 2nd.</w:t>
      </w:r>
    </w:p>
    <w:tbl>
      <w:tblPr>
        <w:tblW w:type="auto" w:w="0"/>
        <w:jc w:val="center"/>
        <w:tblLook w:firstColumn="1" w:firstRow="1" w:lastColumn="0" w:lastRow="0" w:noHBand="0" w:noVBand="1" w:val="04A0"/>
      </w:tblPr>
      <w:tblGrid>
        <w:gridCol w:w="9360"/>
      </w:tblGrid>
      <w:tr>
        <w:tc>
          <w:tcPr>
            <w:tcW w:type="dxa" w:w="9360"/>
            <w:shd w:val="clear" w:fill="EEF2F4"/>
            <w:tcBorders>
              <w:left w:val="single" w:sz="24" w:color="0F5F76"/>
            </w:tcBorders>
          </w:tcPr>
          <w:p>
            <w:pPr>
              <w:spacing w:after="200" w:before="160"/>
              <w:ind w:left="160" w:right="160"/>
            </w:pPr>
            <w:r/>
            <w:r>
              <w:rPr>
                <w:b/>
                <w:color w:val="15212A"/>
                <w:sz w:val="22"/>
              </w:rPr>
              <w:t xml:space="preserve">One date to keep an eye on. </w:t>
            </w:r>
            <w:r>
              <w:rPr>
                <w:b w:val="0"/>
                <w:color w:val="15212A"/>
                <w:sz w:val="22"/>
              </w:rPr>
              <w:t>The quarter turns over on 1 October, the day before launch. The scoring periods roll into Q4 automatically and I’ve tested that they do, but it’ll be the first time it happens for real — so I’ll check it that morning.</w:t>
            </w:r>
          </w:p>
        </w:tc>
      </w:tr>
    </w:tbl>
    <w:p>
      <w:pPr>
        <w:spacing w:after="40"/>
      </w:pPr>
    </w:p>
    <w:p>
      <w:pPr>
        <w:spacing w:after="0" w:before="240"/>
      </w:pPr>
      <w:r>
        <w:rPr>
          <w:b w:val="0"/>
          <w:color w:val="7B8A94"/>
          <w:sz w:val="19"/>
        </w:rPr>
        <w:t>Matthew · Warehouse Wizard, Crew+ and SOP+ are all live and running. The only thing I’m waiting on to call Warehouse Wizard launch-ready is the login list.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1521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