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Sales Performance Dashboard</w:t>
      </w:r>
    </w:p>
    <w:p>
      <w:pPr>
        <w:pStyle w:val="Heading2"/>
        <w:spacing w:after="400"/>
        <w:jc w:val="center"/>
      </w:pPr>
      <w:r>
        <w:t xml:space="preserve">Stakeholder Insights Summary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This dashboard analyzes sales performance data for the years 2013–2014, covering key business dimensions including Product, Country, and Customer Segment. It was built in Power BI to provide stakeholders with a clear, interactive view of sales, profitability, and operational metrics.</w:t>
      </w:r>
    </w:p>
    <w:p>
      <w:pPr>
        <w:pStyle w:val="Heading1"/>
      </w:pPr>
      <w:r>
        <w:t xml:space="preserve">2. Key Metrics</w:t>
      </w:r>
    </w:p>
    <w:p>
      <w:pPr>
        <w:pStyle w:val="ListParagraph"/>
        <w:numPr>
          <w:ilvl w:val="0"/>
          <w:numId w:val="1"/>
        </w:numPr>
      </w:pPr>
      <w:r>
        <w:t xml:space="preserve">Total Sales: 118.73M</w:t>
      </w:r>
    </w:p>
    <w:p>
      <w:pPr>
        <w:pStyle w:val="ListParagraph"/>
        <w:numPr>
          <w:ilvl w:val="0"/>
          <w:numId w:val="1"/>
        </w:numPr>
      </w:pPr>
      <w:r>
        <w:t xml:space="preserve">Total Profit: 16.89M</w:t>
      </w:r>
    </w:p>
    <w:p>
      <w:pPr>
        <w:pStyle w:val="ListParagraph"/>
        <w:numPr>
          <w:ilvl w:val="0"/>
          <w:numId w:val="1"/>
        </w:numPr>
      </w:pPr>
      <w:r>
        <w:t xml:space="preserve">Total COGS: 102M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Total Units Sold: 1.13M</w:t>
      </w:r>
    </w:p>
    <w:p>
      <w:pPr>
        <w:pStyle w:val="Heading1"/>
      </w:pPr>
      <w:r>
        <w:t xml:space="preserve">3. Key Insights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Top-Performing Product: </w:t>
      </w:r>
      <w:r>
        <w:t xml:space="preserve">"Paseo" is the highest-selling product, significantly outperforming other products such as VTT, Velo, Amarilla, Montana, and Carretera.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Country-wise Distribution: </w:t>
      </w:r>
      <w:r>
        <w:t xml:space="preserve">Sales are fairly evenly distributed across the five countries (United States, Canada, France, Germany, and Mexico), with each contributing roughly 17–21% of total sales, indicating no single country dominates.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Segment Performance: </w:t>
      </w:r>
      <w:r>
        <w:t xml:space="preserve">The Government segment contributes the largest share of sales (~44%), followed by Enterprise and Midmarket (~36% combined), while Channel Partners and Small Business contribute the least (~16–17%).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Sales Trend: </w:t>
      </w:r>
      <w:r>
        <w:t xml:space="preserve">Sales were highest at the start of the year and gradually declined in later months, suggesting a possible seasonal pattern or slowdown in demand that merits further investigation.</w:t>
      </w:r>
    </w:p>
    <w:p>
      <w:pPr>
        <w:pStyle w:val="Heading1"/>
      </w:pPr>
      <w:r>
        <w:t xml:space="preserve">4. Recommendations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Increase stock and marketing focus on "Paseo", given its strong and consistent demand.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Develop a dedicated sales strategy for the Government segment, as it is the largest contributor to revenue.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Introduce targeted promotions or discounts for the Small Business and Channel Partners segments to improve their performance.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Investigate the causes behind the sales decline in later months to determine if it is seasonal or due to operational factors.</w:t>
      </w:r>
    </w:p>
    <w:p>
      <w:pPr>
        <w:pStyle w:val="Heading1"/>
      </w:pPr>
      <w:r>
        <w:t xml:space="preserve">5. Conclusion</w:t>
      </w:r>
    </w:p>
    <w:p>
      <w:r>
        <w:t xml:space="preserve">Overall, the business shows healthy performance with a positive profit margin. However, there are clear opportunities to grow underperforming segments and address seasonal sales dips, which could further strengthen overall business outcomes.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2026-09-19T06:13:53.721Z</dcterms:created>
  <dcterms:modified xsi:type="dcterms:W3CDTF">2026-09-19T06:13:53.730Z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