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5918" w14:textId="77777777" w:rsidR="00CB3039" w:rsidRDefault="00CB3039" w:rsidP="00CB3039">
      <w:pPr>
        <w:pStyle w:val="Heading1"/>
      </w:pPr>
      <w:r>
        <w:t>Disaster Recovery (DR) Solutions Design and Review</w:t>
      </w:r>
    </w:p>
    <w:p w14:paraId="1D1DB50E" w14:textId="77777777" w:rsidR="00CB3039" w:rsidRDefault="00CB3039" w:rsidP="00CB3039">
      <w:r>
        <w:t xml:space="preserve">Designing and reviewing Disaster Recovery (DR) solutions is a critical component of </w:t>
      </w:r>
      <w:proofErr w:type="spellStart"/>
      <w:r>
        <w:t>organisational</w:t>
      </w:r>
      <w:proofErr w:type="spellEnd"/>
      <w:r>
        <w:t xml:space="preserve"> resilience and information risk management. Sutton (2021) </w:t>
      </w:r>
      <w:proofErr w:type="spellStart"/>
      <w:r>
        <w:t>emphasises</w:t>
      </w:r>
      <w:proofErr w:type="spellEnd"/>
      <w:r>
        <w:t xml:space="preserve"> that an effective DR design requires an integrated approach that aligns with the </w:t>
      </w:r>
      <w:proofErr w:type="spellStart"/>
      <w:r>
        <w:t>organisation’s</w:t>
      </w:r>
      <w:proofErr w:type="spellEnd"/>
      <w:r>
        <w:t xml:space="preserve"> overall business continuity management system (BCMS). The design process begins with identifying critical business functions, assessing the potential impact of downtime, and defining key recovery objectives such as Recovery Time Objective (RTO) and Recovery Point Objective (RPO). These parameters determine the technological and procedural solutions required to ensure timely recovery following a disruption. Sutton also highlights that DR solutions must be risk-informed, cost-effective, and adaptable to emerging threats, particularly cyber incidents and cloud-based system failures.</w:t>
      </w:r>
      <w:r>
        <w:br/>
      </w:r>
      <w:r>
        <w:br/>
        <w:t xml:space="preserve">Popov, Lyon, and Hollcroft (2018) extend this perspective by framing DR within the broader context of risk and safety management. They advocate for a structured, </w:t>
      </w:r>
      <w:proofErr w:type="gramStart"/>
      <w:r>
        <w:t>systems</w:t>
      </w:r>
      <w:proofErr w:type="gramEnd"/>
      <w:r>
        <w:t>-oriented approach that integrates risk analysis, hazard identification, and mitigation strategies into the design of DR plans. Their work underlines the necessity of scenario-based modelling, where realistic disaster scenarios are simulated to test the reliability and scalability of recovery strategies. This methodological emphasis ensures that DR planning does not remain theoretical but is grounded in measurable performance and validation through regular drills and audits.</w:t>
      </w:r>
      <w:r>
        <w:br/>
      </w:r>
      <w:r>
        <w:br/>
        <w:t xml:space="preserve">In reviewing DR solutions, both authors stress the importance of continuous improvement and lifecycle management. A DR plan should not be static but subject to periodic review, testing, and revision to reflect changes in technology, business processes, and the threat landscape. Sutton (2021) further argues for embedding DR design into governance structures, ensuring senior leadership oversight and cross-departmental coordination. Similarly, Popov et al. (2018) note that DR reviews should incorporate lessons learned from incident reports and near-miss analyses, reinforcing a culture of </w:t>
      </w:r>
      <w:proofErr w:type="spellStart"/>
      <w:r>
        <w:t>organisational</w:t>
      </w:r>
      <w:proofErr w:type="spellEnd"/>
      <w:r>
        <w:t xml:space="preserve"> learning.</w:t>
      </w:r>
      <w:r>
        <w:br/>
      </w:r>
      <w:r>
        <w:br/>
        <w:t xml:space="preserve">Overall, the integration of Sutton’s business continuity principles with Popov et al.’s risk-based framework offers a holistic model for DR solution design and review. Together, these approaches promote resilience through foresight, preparedness, and evidence-based decision-making—ensuring that </w:t>
      </w:r>
      <w:proofErr w:type="spellStart"/>
      <w:r>
        <w:t>organisations</w:t>
      </w:r>
      <w:proofErr w:type="spellEnd"/>
      <w:r>
        <w:t xml:space="preserve"> can not only recover from disruptions but do so efficiently and sustainably.</w:t>
      </w:r>
    </w:p>
    <w:p w14:paraId="17B78A91" w14:textId="77777777" w:rsidR="00CB3039" w:rsidRDefault="00CB3039" w:rsidP="00CB3039">
      <w:pPr>
        <w:pStyle w:val="Heading2"/>
      </w:pPr>
      <w:r>
        <w:t>References</w:t>
      </w:r>
    </w:p>
    <w:p w14:paraId="774BA428" w14:textId="77777777" w:rsidR="00CB3039" w:rsidRDefault="00CB3039" w:rsidP="00CB3039">
      <w:r>
        <w:t>Popov, G., Lyon, B.K. and Hollcroft, B.D. (2018) Risk Assessment: A Practical Guide to Assessing Operational Risks. John Wiley &amp; Sons, Hoboken, NJ.</w:t>
      </w:r>
    </w:p>
    <w:p w14:paraId="2BE57750" w14:textId="77777777" w:rsidR="00CB3039" w:rsidRDefault="00CB3039" w:rsidP="00CB3039">
      <w:r>
        <w:lastRenderedPageBreak/>
        <w:t xml:space="preserve">Sutton, D. (2021) Resilient Thinking: Protecting </w:t>
      </w:r>
      <w:proofErr w:type="spellStart"/>
      <w:r>
        <w:t>Organisations</w:t>
      </w:r>
      <w:proofErr w:type="spellEnd"/>
      <w:r>
        <w:t xml:space="preserve"> in the Age of Cyber Threats. 2nd </w:t>
      </w:r>
      <w:proofErr w:type="spellStart"/>
      <w:proofErr w:type="gramStart"/>
      <w:r>
        <w:t>edn</w:t>
      </w:r>
      <w:proofErr w:type="spellEnd"/>
      <w:proofErr w:type="gramEnd"/>
      <w:r>
        <w:t>. Kogan Page, London.</w:t>
      </w:r>
    </w:p>
    <w:p w14:paraId="667E8163" w14:textId="77777777" w:rsidR="008F182C" w:rsidRDefault="008F182C"/>
    <w:sectPr w:rsidR="008F182C" w:rsidSect="00CB303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39"/>
    <w:rsid w:val="004B7FA9"/>
    <w:rsid w:val="008F182C"/>
    <w:rsid w:val="00AE2DDF"/>
    <w:rsid w:val="00CB3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09A7"/>
  <w15:chartTrackingRefBased/>
  <w15:docId w15:val="{C2832963-0333-4D94-B566-06057D74F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039"/>
    <w:pPr>
      <w:spacing w:after="200" w:line="276" w:lineRule="auto"/>
    </w:pPr>
    <w:rPr>
      <w:rFonts w:eastAsiaTheme="minorEastAsia"/>
      <w:lang w:val="en-US"/>
    </w:rPr>
  </w:style>
  <w:style w:type="paragraph" w:styleId="Heading1">
    <w:name w:val="heading 1"/>
    <w:basedOn w:val="Normal"/>
    <w:next w:val="Normal"/>
    <w:link w:val="Heading1Char"/>
    <w:uiPriority w:val="9"/>
    <w:qFormat/>
    <w:rsid w:val="00CB3039"/>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val="en-GB"/>
    </w:rPr>
  </w:style>
  <w:style w:type="paragraph" w:styleId="Heading2">
    <w:name w:val="heading 2"/>
    <w:basedOn w:val="Normal"/>
    <w:next w:val="Normal"/>
    <w:link w:val="Heading2Char"/>
    <w:uiPriority w:val="9"/>
    <w:unhideWhenUsed/>
    <w:qFormat/>
    <w:rsid w:val="00CB3039"/>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val="en-GB"/>
    </w:rPr>
  </w:style>
  <w:style w:type="paragraph" w:styleId="Heading3">
    <w:name w:val="heading 3"/>
    <w:basedOn w:val="Normal"/>
    <w:next w:val="Normal"/>
    <w:link w:val="Heading3Char"/>
    <w:uiPriority w:val="9"/>
    <w:semiHidden/>
    <w:unhideWhenUsed/>
    <w:qFormat/>
    <w:rsid w:val="00CB3039"/>
    <w:pPr>
      <w:keepNext/>
      <w:keepLines/>
      <w:spacing w:before="160" w:after="80" w:line="259" w:lineRule="auto"/>
      <w:outlineLvl w:val="2"/>
    </w:pPr>
    <w:rPr>
      <w:rFonts w:eastAsiaTheme="majorEastAsia" w:cstheme="majorBidi"/>
      <w:color w:val="2E74B5" w:themeColor="accent1" w:themeShade="BF"/>
      <w:sz w:val="28"/>
      <w:szCs w:val="28"/>
      <w:lang w:val="en-GB"/>
    </w:rPr>
  </w:style>
  <w:style w:type="paragraph" w:styleId="Heading4">
    <w:name w:val="heading 4"/>
    <w:basedOn w:val="Normal"/>
    <w:next w:val="Normal"/>
    <w:link w:val="Heading4Char"/>
    <w:uiPriority w:val="9"/>
    <w:semiHidden/>
    <w:unhideWhenUsed/>
    <w:qFormat/>
    <w:rsid w:val="00CB3039"/>
    <w:pPr>
      <w:keepNext/>
      <w:keepLines/>
      <w:spacing w:before="80" w:after="40" w:line="259" w:lineRule="auto"/>
      <w:outlineLvl w:val="3"/>
    </w:pPr>
    <w:rPr>
      <w:rFonts w:eastAsiaTheme="majorEastAsia" w:cstheme="majorBidi"/>
      <w:i/>
      <w:iCs/>
      <w:color w:val="2E74B5" w:themeColor="accent1" w:themeShade="BF"/>
      <w:lang w:val="en-GB"/>
    </w:rPr>
  </w:style>
  <w:style w:type="paragraph" w:styleId="Heading5">
    <w:name w:val="heading 5"/>
    <w:basedOn w:val="Normal"/>
    <w:next w:val="Normal"/>
    <w:link w:val="Heading5Char"/>
    <w:uiPriority w:val="9"/>
    <w:semiHidden/>
    <w:unhideWhenUsed/>
    <w:qFormat/>
    <w:rsid w:val="00CB3039"/>
    <w:pPr>
      <w:keepNext/>
      <w:keepLines/>
      <w:spacing w:before="80" w:after="40" w:line="259" w:lineRule="auto"/>
      <w:outlineLvl w:val="4"/>
    </w:pPr>
    <w:rPr>
      <w:rFonts w:eastAsiaTheme="majorEastAsia" w:cstheme="majorBidi"/>
      <w:color w:val="2E74B5" w:themeColor="accent1" w:themeShade="BF"/>
      <w:lang w:val="en-GB"/>
    </w:rPr>
  </w:style>
  <w:style w:type="paragraph" w:styleId="Heading6">
    <w:name w:val="heading 6"/>
    <w:basedOn w:val="Normal"/>
    <w:next w:val="Normal"/>
    <w:link w:val="Heading6Char"/>
    <w:uiPriority w:val="9"/>
    <w:semiHidden/>
    <w:unhideWhenUsed/>
    <w:qFormat/>
    <w:rsid w:val="00CB3039"/>
    <w:pPr>
      <w:keepNext/>
      <w:keepLines/>
      <w:spacing w:before="40" w:after="0" w:line="259" w:lineRule="auto"/>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CB3039"/>
    <w:pPr>
      <w:keepNext/>
      <w:keepLines/>
      <w:spacing w:before="40" w:after="0" w:line="259" w:lineRule="auto"/>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CB3039"/>
    <w:pPr>
      <w:keepNext/>
      <w:keepLines/>
      <w:spacing w:after="0" w:line="259" w:lineRule="auto"/>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CB3039"/>
    <w:pPr>
      <w:keepNext/>
      <w:keepLines/>
      <w:spacing w:after="0" w:line="259" w:lineRule="auto"/>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03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B30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B303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B303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B303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039"/>
    <w:rPr>
      <w:rFonts w:eastAsiaTheme="majorEastAsia" w:cstheme="majorBidi"/>
      <w:color w:val="272727" w:themeColor="text1" w:themeTint="D8"/>
    </w:rPr>
  </w:style>
  <w:style w:type="paragraph" w:styleId="Title">
    <w:name w:val="Title"/>
    <w:basedOn w:val="Normal"/>
    <w:next w:val="Normal"/>
    <w:link w:val="TitleChar"/>
    <w:uiPriority w:val="10"/>
    <w:qFormat/>
    <w:rsid w:val="00CB3039"/>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CB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039"/>
    <w:pPr>
      <w:numPr>
        <w:ilvl w:val="1"/>
      </w:numPr>
      <w:spacing w:after="160" w:line="259" w:lineRule="auto"/>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CB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039"/>
    <w:pPr>
      <w:spacing w:before="160" w:after="160" w:line="259" w:lineRule="auto"/>
      <w:jc w:val="center"/>
    </w:pPr>
    <w:rPr>
      <w:rFonts w:eastAsiaTheme="minorHAnsi"/>
      <w:i/>
      <w:iCs/>
      <w:color w:val="404040" w:themeColor="text1" w:themeTint="BF"/>
      <w:lang w:val="en-GB"/>
    </w:rPr>
  </w:style>
  <w:style w:type="character" w:customStyle="1" w:styleId="QuoteChar">
    <w:name w:val="Quote Char"/>
    <w:basedOn w:val="DefaultParagraphFont"/>
    <w:link w:val="Quote"/>
    <w:uiPriority w:val="29"/>
    <w:rsid w:val="00CB3039"/>
    <w:rPr>
      <w:i/>
      <w:iCs/>
      <w:color w:val="404040" w:themeColor="text1" w:themeTint="BF"/>
    </w:rPr>
  </w:style>
  <w:style w:type="paragraph" w:styleId="ListParagraph">
    <w:name w:val="List Paragraph"/>
    <w:basedOn w:val="Normal"/>
    <w:uiPriority w:val="34"/>
    <w:qFormat/>
    <w:rsid w:val="00CB3039"/>
    <w:pPr>
      <w:spacing w:after="160" w:line="259" w:lineRule="auto"/>
      <w:ind w:left="720"/>
      <w:contextualSpacing/>
    </w:pPr>
    <w:rPr>
      <w:rFonts w:eastAsiaTheme="minorHAnsi"/>
      <w:lang w:val="en-GB"/>
    </w:rPr>
  </w:style>
  <w:style w:type="character" w:styleId="IntenseEmphasis">
    <w:name w:val="Intense Emphasis"/>
    <w:basedOn w:val="DefaultParagraphFont"/>
    <w:uiPriority w:val="21"/>
    <w:qFormat/>
    <w:rsid w:val="00CB3039"/>
    <w:rPr>
      <w:i/>
      <w:iCs/>
      <w:color w:val="2E74B5" w:themeColor="accent1" w:themeShade="BF"/>
    </w:rPr>
  </w:style>
  <w:style w:type="paragraph" w:styleId="IntenseQuote">
    <w:name w:val="Intense Quote"/>
    <w:basedOn w:val="Normal"/>
    <w:next w:val="Normal"/>
    <w:link w:val="IntenseQuoteChar"/>
    <w:uiPriority w:val="30"/>
    <w:qFormat/>
    <w:rsid w:val="00CB3039"/>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i/>
      <w:iCs/>
      <w:color w:val="2E74B5" w:themeColor="accent1" w:themeShade="BF"/>
      <w:lang w:val="en-GB"/>
    </w:rPr>
  </w:style>
  <w:style w:type="character" w:customStyle="1" w:styleId="IntenseQuoteChar">
    <w:name w:val="Intense Quote Char"/>
    <w:basedOn w:val="DefaultParagraphFont"/>
    <w:link w:val="IntenseQuote"/>
    <w:uiPriority w:val="30"/>
    <w:rsid w:val="00CB3039"/>
    <w:rPr>
      <w:i/>
      <w:iCs/>
      <w:color w:val="2E74B5" w:themeColor="accent1" w:themeShade="BF"/>
    </w:rPr>
  </w:style>
  <w:style w:type="character" w:styleId="IntenseReference">
    <w:name w:val="Intense Reference"/>
    <w:basedOn w:val="DefaultParagraphFont"/>
    <w:uiPriority w:val="32"/>
    <w:qFormat/>
    <w:rsid w:val="00CB30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Osifo</dc:creator>
  <cp:keywords/>
  <dc:description/>
  <cp:lastModifiedBy>Peter Osifo</cp:lastModifiedBy>
  <cp:revision>1</cp:revision>
  <dcterms:created xsi:type="dcterms:W3CDTF">2025-10-19T21:25:00Z</dcterms:created>
  <dcterms:modified xsi:type="dcterms:W3CDTF">2025-10-19T21:26:00Z</dcterms:modified>
</cp:coreProperties>
</file>