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57D4E" w14:textId="5449F857" w:rsidR="002F38A9" w:rsidRPr="002F38A9" w:rsidRDefault="002F38A9" w:rsidP="003B6BBD">
      <w:pPr>
        <w:shd w:val="clear" w:color="auto" w:fill="FFFFFF"/>
        <w:spacing w:after="300"/>
        <w:jc w:val="both"/>
        <w:outlineLvl w:val="1"/>
        <w:rPr>
          <w:rFonts w:ascii="Calibri" w:eastAsia="Times New Roman" w:hAnsi="Calibri" w:cs="Calibri"/>
          <w:b/>
          <w:bCs/>
          <w:color w:val="000000" w:themeColor="text1"/>
          <w:sz w:val="28"/>
          <w:szCs w:val="28"/>
          <w:lang w:eastAsia="en-GB"/>
        </w:rPr>
      </w:pPr>
      <w:r w:rsidRPr="002F38A9">
        <w:rPr>
          <w:rFonts w:ascii="Calibri" w:eastAsia="Times New Roman" w:hAnsi="Calibri" w:cs="Calibri"/>
          <w:b/>
          <w:bCs/>
          <w:color w:val="000000" w:themeColor="text1"/>
          <w:sz w:val="28"/>
          <w:szCs w:val="28"/>
          <w:lang w:eastAsia="en-GB"/>
        </w:rPr>
        <w:t>Case Study: Collaborative Discussion</w:t>
      </w:r>
    </w:p>
    <w:p w14:paraId="43FCD8D0" w14:textId="77777777" w:rsidR="000C3B40" w:rsidRPr="000C3B40" w:rsidRDefault="000C3B40" w:rsidP="000C3B40">
      <w:pPr>
        <w:jc w:val="both"/>
        <w:rPr>
          <w:rFonts w:ascii="Calibri" w:hAnsi="Calibri" w:cs="Calibri"/>
          <w:color w:val="000000" w:themeColor="text1"/>
        </w:rPr>
      </w:pPr>
      <w:r w:rsidRPr="000C3B40">
        <w:rPr>
          <w:rFonts w:ascii="Calibri" w:hAnsi="Calibri" w:cs="Calibri"/>
          <w:color w:val="000000" w:themeColor="text1"/>
        </w:rPr>
        <w:t xml:space="preserve">The term "Industry 4.0" encompasses various technologies, including the Internet of Things (IoT), Big Data, cloud computing, artificial intelligence, and robotics. These technologies focus on decentralising communication between people and machines (Schwab, Davis, &amp; Nadella, 2018; </w:t>
      </w:r>
      <w:proofErr w:type="spellStart"/>
      <w:r w:rsidRPr="000C3B40">
        <w:rPr>
          <w:rFonts w:ascii="Calibri" w:hAnsi="Calibri" w:cs="Calibri"/>
          <w:color w:val="000000" w:themeColor="text1"/>
        </w:rPr>
        <w:t>Kovaitė</w:t>
      </w:r>
      <w:proofErr w:type="spellEnd"/>
      <w:r w:rsidRPr="000C3B40">
        <w:rPr>
          <w:rFonts w:ascii="Calibri" w:hAnsi="Calibri" w:cs="Calibri"/>
          <w:color w:val="000000" w:themeColor="text1"/>
        </w:rPr>
        <w:t xml:space="preserve"> &amp; </w:t>
      </w:r>
      <w:proofErr w:type="spellStart"/>
      <w:r w:rsidRPr="000C3B40">
        <w:rPr>
          <w:rFonts w:ascii="Calibri" w:hAnsi="Calibri" w:cs="Calibri"/>
          <w:color w:val="000000" w:themeColor="text1"/>
        </w:rPr>
        <w:t>Stankevičienė</w:t>
      </w:r>
      <w:proofErr w:type="spellEnd"/>
      <w:r w:rsidRPr="000C3B40">
        <w:rPr>
          <w:rFonts w:ascii="Calibri" w:hAnsi="Calibri" w:cs="Calibri"/>
          <w:color w:val="000000" w:themeColor="text1"/>
        </w:rPr>
        <w:t xml:space="preserve">, 2019). Two examples of Industry 4.0 applications are smart homes (Hui, Sherratt, &amp; Sánchez, 2017) and intelligent factories (Zhong, Xu, Klotz, &amp; Newman, 2017; </w:t>
      </w:r>
      <w:proofErr w:type="spellStart"/>
      <w:r w:rsidRPr="000C3B40">
        <w:rPr>
          <w:rFonts w:ascii="Calibri" w:hAnsi="Calibri" w:cs="Calibri"/>
          <w:color w:val="000000" w:themeColor="text1"/>
        </w:rPr>
        <w:t>Kovaitė</w:t>
      </w:r>
      <w:proofErr w:type="spellEnd"/>
      <w:r w:rsidRPr="000C3B40">
        <w:rPr>
          <w:rFonts w:ascii="Calibri" w:hAnsi="Calibri" w:cs="Calibri"/>
          <w:color w:val="000000" w:themeColor="text1"/>
        </w:rPr>
        <w:t xml:space="preserve"> &amp; </w:t>
      </w:r>
      <w:proofErr w:type="spellStart"/>
      <w:r w:rsidRPr="000C3B40">
        <w:rPr>
          <w:rFonts w:ascii="Calibri" w:hAnsi="Calibri" w:cs="Calibri"/>
          <w:color w:val="000000" w:themeColor="text1"/>
        </w:rPr>
        <w:t>Stankevičienė</w:t>
      </w:r>
      <w:proofErr w:type="spellEnd"/>
      <w:r w:rsidRPr="000C3B40">
        <w:rPr>
          <w:rFonts w:ascii="Calibri" w:hAnsi="Calibri" w:cs="Calibri"/>
          <w:color w:val="000000" w:themeColor="text1"/>
        </w:rPr>
        <w:t>, 2019).</w:t>
      </w:r>
    </w:p>
    <w:p w14:paraId="56167AA1" w14:textId="77777777" w:rsidR="000C3B40" w:rsidRPr="000C3B40" w:rsidRDefault="000C3B40" w:rsidP="000C3B40">
      <w:pPr>
        <w:jc w:val="both"/>
        <w:rPr>
          <w:rFonts w:ascii="Calibri" w:hAnsi="Calibri" w:cs="Calibri"/>
          <w:color w:val="000000" w:themeColor="text1"/>
        </w:rPr>
      </w:pPr>
      <w:r w:rsidRPr="000C3B40">
        <w:rPr>
          <w:rFonts w:ascii="Calibri" w:hAnsi="Calibri" w:cs="Calibri"/>
          <w:color w:val="000000" w:themeColor="text1"/>
        </w:rPr>
        <w:t>The risks associated with 'Industry 4.0' can be categorised into several types: technical, competency, behavioural, data security, and financial risks (</w:t>
      </w:r>
      <w:proofErr w:type="spellStart"/>
      <w:r w:rsidRPr="000C3B40">
        <w:rPr>
          <w:rFonts w:ascii="Calibri" w:hAnsi="Calibri" w:cs="Calibri"/>
          <w:color w:val="000000" w:themeColor="text1"/>
        </w:rPr>
        <w:t>Kovaitė</w:t>
      </w:r>
      <w:proofErr w:type="spellEnd"/>
      <w:r w:rsidRPr="000C3B40">
        <w:rPr>
          <w:rFonts w:ascii="Calibri" w:hAnsi="Calibri" w:cs="Calibri"/>
          <w:color w:val="000000" w:themeColor="text1"/>
        </w:rPr>
        <w:t xml:space="preserve"> &amp; </w:t>
      </w:r>
      <w:proofErr w:type="spellStart"/>
      <w:r w:rsidRPr="000C3B40">
        <w:rPr>
          <w:rFonts w:ascii="Calibri" w:hAnsi="Calibri" w:cs="Calibri"/>
          <w:color w:val="000000" w:themeColor="text1"/>
        </w:rPr>
        <w:t>Stankevičienė</w:t>
      </w:r>
      <w:proofErr w:type="spellEnd"/>
      <w:r w:rsidRPr="000C3B40">
        <w:rPr>
          <w:rFonts w:ascii="Calibri" w:hAnsi="Calibri" w:cs="Calibri"/>
          <w:color w:val="000000" w:themeColor="text1"/>
        </w:rPr>
        <w:t>, 2019). A technical risk linked to intelligent factories involves the necessity of acquiring various new capabilities and resources to implement these innovative solutions (</w:t>
      </w:r>
      <w:proofErr w:type="spellStart"/>
      <w:r w:rsidRPr="000C3B40">
        <w:rPr>
          <w:rFonts w:ascii="Calibri" w:hAnsi="Calibri" w:cs="Calibri"/>
          <w:color w:val="000000" w:themeColor="text1"/>
        </w:rPr>
        <w:t>Kovaitė</w:t>
      </w:r>
      <w:proofErr w:type="spellEnd"/>
      <w:r w:rsidRPr="000C3B40">
        <w:rPr>
          <w:rFonts w:ascii="Calibri" w:hAnsi="Calibri" w:cs="Calibri"/>
          <w:color w:val="000000" w:themeColor="text1"/>
        </w:rPr>
        <w:t xml:space="preserve"> &amp; </w:t>
      </w:r>
      <w:proofErr w:type="spellStart"/>
      <w:r w:rsidRPr="000C3B40">
        <w:rPr>
          <w:rFonts w:ascii="Calibri" w:hAnsi="Calibri" w:cs="Calibri"/>
          <w:color w:val="000000" w:themeColor="text1"/>
        </w:rPr>
        <w:t>Stankevičienė</w:t>
      </w:r>
      <w:proofErr w:type="spellEnd"/>
      <w:r w:rsidRPr="000C3B40">
        <w:rPr>
          <w:rFonts w:ascii="Calibri" w:hAnsi="Calibri" w:cs="Calibri"/>
          <w:color w:val="000000" w:themeColor="text1"/>
        </w:rPr>
        <w:t>, 2019). Additionally, a competency-related risk arises from the lack of skilled human resources necessary to facilitate this innovative transformation (</w:t>
      </w:r>
      <w:proofErr w:type="spellStart"/>
      <w:r w:rsidRPr="000C3B40">
        <w:rPr>
          <w:rFonts w:ascii="Calibri" w:hAnsi="Calibri" w:cs="Calibri"/>
          <w:color w:val="000000" w:themeColor="text1"/>
        </w:rPr>
        <w:t>Kovaitė</w:t>
      </w:r>
      <w:proofErr w:type="spellEnd"/>
      <w:r w:rsidRPr="000C3B40">
        <w:rPr>
          <w:rFonts w:ascii="Calibri" w:hAnsi="Calibri" w:cs="Calibri"/>
          <w:color w:val="000000" w:themeColor="text1"/>
        </w:rPr>
        <w:t xml:space="preserve"> &amp; </w:t>
      </w:r>
      <w:proofErr w:type="spellStart"/>
      <w:r w:rsidRPr="000C3B40">
        <w:rPr>
          <w:rFonts w:ascii="Calibri" w:hAnsi="Calibri" w:cs="Calibri"/>
          <w:color w:val="000000" w:themeColor="text1"/>
        </w:rPr>
        <w:t>Stankevičienė</w:t>
      </w:r>
      <w:proofErr w:type="spellEnd"/>
      <w:r w:rsidRPr="000C3B40">
        <w:rPr>
          <w:rFonts w:ascii="Calibri" w:hAnsi="Calibri" w:cs="Calibri"/>
          <w:color w:val="000000" w:themeColor="text1"/>
        </w:rPr>
        <w:t>, 2019).</w:t>
      </w:r>
    </w:p>
    <w:p w14:paraId="376B4EE0" w14:textId="77777777" w:rsidR="000C3B40" w:rsidRPr="000C3B40" w:rsidRDefault="000C3B40" w:rsidP="000C3B40">
      <w:pPr>
        <w:jc w:val="both"/>
        <w:rPr>
          <w:rFonts w:ascii="Calibri" w:hAnsi="Calibri" w:cs="Calibri"/>
          <w:color w:val="000000" w:themeColor="text1"/>
        </w:rPr>
      </w:pPr>
      <w:proofErr w:type="spellStart"/>
      <w:r w:rsidRPr="000C3B40">
        <w:rPr>
          <w:rFonts w:ascii="Calibri" w:hAnsi="Calibri" w:cs="Calibri"/>
          <w:color w:val="000000" w:themeColor="text1"/>
        </w:rPr>
        <w:t>Hecklau</w:t>
      </w:r>
      <w:proofErr w:type="spellEnd"/>
      <w:r w:rsidRPr="000C3B40">
        <w:rPr>
          <w:rFonts w:ascii="Calibri" w:hAnsi="Calibri" w:cs="Calibri"/>
          <w:color w:val="000000" w:themeColor="text1"/>
        </w:rPr>
        <w:t xml:space="preserve"> et al. (2016) support the argument made by </w:t>
      </w:r>
      <w:proofErr w:type="spellStart"/>
      <w:r w:rsidRPr="000C3B40">
        <w:rPr>
          <w:rFonts w:ascii="Calibri" w:hAnsi="Calibri" w:cs="Calibri"/>
          <w:color w:val="000000" w:themeColor="text1"/>
        </w:rPr>
        <w:t>Kovaitė</w:t>
      </w:r>
      <w:proofErr w:type="spellEnd"/>
      <w:r w:rsidRPr="000C3B40">
        <w:rPr>
          <w:rFonts w:ascii="Calibri" w:hAnsi="Calibri" w:cs="Calibri"/>
          <w:color w:val="000000" w:themeColor="text1"/>
        </w:rPr>
        <w:t xml:space="preserve"> and </w:t>
      </w:r>
      <w:proofErr w:type="spellStart"/>
      <w:r w:rsidRPr="000C3B40">
        <w:rPr>
          <w:rFonts w:ascii="Calibri" w:hAnsi="Calibri" w:cs="Calibri"/>
          <w:color w:val="000000" w:themeColor="text1"/>
        </w:rPr>
        <w:t>Stankevičienė</w:t>
      </w:r>
      <w:proofErr w:type="spellEnd"/>
      <w:r w:rsidRPr="000C3B40">
        <w:rPr>
          <w:rFonts w:ascii="Calibri" w:hAnsi="Calibri" w:cs="Calibri"/>
          <w:color w:val="000000" w:themeColor="text1"/>
        </w:rPr>
        <w:t xml:space="preserve"> (2019) regarding the necessity of a holistic approach to human resource management in the context of 'Industry 4.0.' They emphasise the importance of creating an environment in which businesses can acquire, maintain, and update the resources needed to adopt change and remain competitive.</w:t>
      </w:r>
    </w:p>
    <w:p w14:paraId="42966743" w14:textId="77777777" w:rsidR="000C3B40" w:rsidRDefault="000C3B40" w:rsidP="000C3B40">
      <w:pPr>
        <w:jc w:val="both"/>
        <w:rPr>
          <w:rFonts w:ascii="Calibri" w:hAnsi="Calibri" w:cs="Calibri"/>
          <w:b/>
          <w:bCs/>
          <w:color w:val="000000" w:themeColor="text1"/>
        </w:rPr>
      </w:pPr>
    </w:p>
    <w:p w14:paraId="2ABDBFCB" w14:textId="4F3BC236" w:rsidR="000C3B40" w:rsidRPr="000C3B40" w:rsidRDefault="000C3B40" w:rsidP="000C3B40">
      <w:pPr>
        <w:jc w:val="both"/>
        <w:rPr>
          <w:rFonts w:ascii="Calibri" w:hAnsi="Calibri" w:cs="Calibri"/>
          <w:color w:val="000000" w:themeColor="text1"/>
        </w:rPr>
      </w:pPr>
      <w:r w:rsidRPr="000C3B40">
        <w:rPr>
          <w:rFonts w:ascii="Calibri" w:hAnsi="Calibri" w:cs="Calibri"/>
          <w:b/>
          <w:bCs/>
          <w:color w:val="000000" w:themeColor="text1"/>
        </w:rPr>
        <w:t>References</w:t>
      </w:r>
    </w:p>
    <w:p w14:paraId="4C738F1C" w14:textId="77777777" w:rsidR="000C3B40" w:rsidRPr="000C3B40" w:rsidRDefault="000C3B40" w:rsidP="000C3B40">
      <w:pPr>
        <w:jc w:val="both"/>
        <w:rPr>
          <w:rFonts w:ascii="Calibri" w:hAnsi="Calibri" w:cs="Calibri"/>
          <w:color w:val="000000" w:themeColor="text1"/>
        </w:rPr>
      </w:pPr>
      <w:proofErr w:type="spellStart"/>
      <w:r w:rsidRPr="000C3B40">
        <w:rPr>
          <w:rFonts w:ascii="Calibri" w:hAnsi="Calibri" w:cs="Calibri"/>
          <w:color w:val="000000" w:themeColor="text1"/>
        </w:rPr>
        <w:t>Hecklau</w:t>
      </w:r>
      <w:proofErr w:type="spellEnd"/>
      <w:r w:rsidRPr="000C3B40">
        <w:rPr>
          <w:rFonts w:ascii="Calibri" w:hAnsi="Calibri" w:cs="Calibri"/>
          <w:color w:val="000000" w:themeColor="text1"/>
        </w:rPr>
        <w:t xml:space="preserve">, F., </w:t>
      </w:r>
      <w:proofErr w:type="spellStart"/>
      <w:r w:rsidRPr="000C3B40">
        <w:rPr>
          <w:rFonts w:ascii="Calibri" w:hAnsi="Calibri" w:cs="Calibri"/>
          <w:color w:val="000000" w:themeColor="text1"/>
        </w:rPr>
        <w:t>Galeitzke</w:t>
      </w:r>
      <w:proofErr w:type="spellEnd"/>
      <w:r w:rsidRPr="000C3B40">
        <w:rPr>
          <w:rFonts w:ascii="Calibri" w:hAnsi="Calibri" w:cs="Calibri"/>
          <w:color w:val="000000" w:themeColor="text1"/>
        </w:rPr>
        <w:t>, M., Flachs, S., &amp; Kohl, H. (2016) Holistic approach for human resource management in Industry 4.0. </w:t>
      </w:r>
      <w:r w:rsidRPr="000C3B40">
        <w:rPr>
          <w:rFonts w:ascii="Calibri" w:hAnsi="Calibri" w:cs="Calibri"/>
          <w:i/>
          <w:iCs/>
          <w:color w:val="000000" w:themeColor="text1"/>
        </w:rPr>
        <w:t xml:space="preserve">Procedia </w:t>
      </w:r>
      <w:proofErr w:type="spellStart"/>
      <w:r w:rsidRPr="000C3B40">
        <w:rPr>
          <w:rFonts w:ascii="Calibri" w:hAnsi="Calibri" w:cs="Calibri"/>
          <w:i/>
          <w:iCs/>
          <w:color w:val="000000" w:themeColor="text1"/>
        </w:rPr>
        <w:t>Cirp</w:t>
      </w:r>
      <w:proofErr w:type="spellEnd"/>
      <w:r w:rsidRPr="000C3B40">
        <w:rPr>
          <w:rFonts w:ascii="Calibri" w:hAnsi="Calibri" w:cs="Calibri"/>
          <w:color w:val="000000" w:themeColor="text1"/>
        </w:rPr>
        <w:t> 54: 1-6.</w:t>
      </w:r>
    </w:p>
    <w:p w14:paraId="08460023" w14:textId="77777777" w:rsidR="000C3B40" w:rsidRPr="000C3B40" w:rsidRDefault="000C3B40" w:rsidP="000C3B40">
      <w:pPr>
        <w:jc w:val="both"/>
        <w:rPr>
          <w:rFonts w:ascii="Calibri" w:hAnsi="Calibri" w:cs="Calibri"/>
          <w:color w:val="000000" w:themeColor="text1"/>
        </w:rPr>
      </w:pPr>
      <w:r w:rsidRPr="000C3B40">
        <w:rPr>
          <w:rFonts w:ascii="Calibri" w:hAnsi="Calibri" w:cs="Calibri"/>
          <w:color w:val="000000" w:themeColor="text1"/>
        </w:rPr>
        <w:t>Hui, T. K. L., Sherratt, R. S., &amp; Sánchez, D. D. (2017) Major requirements for building Smart Homes in Smart Cities based on Internet of Things technologies. </w:t>
      </w:r>
      <w:r w:rsidRPr="000C3B40">
        <w:rPr>
          <w:rFonts w:ascii="Calibri" w:hAnsi="Calibri" w:cs="Calibri"/>
          <w:i/>
          <w:iCs/>
          <w:color w:val="000000" w:themeColor="text1"/>
        </w:rPr>
        <w:t>Future Generation Computer Systems</w:t>
      </w:r>
      <w:r w:rsidRPr="000C3B40">
        <w:rPr>
          <w:rFonts w:ascii="Calibri" w:hAnsi="Calibri" w:cs="Calibri"/>
          <w:color w:val="000000" w:themeColor="text1"/>
        </w:rPr>
        <w:t> 76: 358-369. https://doi.org/10.1016/j.future.2016.10.026</w:t>
      </w:r>
    </w:p>
    <w:p w14:paraId="008005D3" w14:textId="77777777" w:rsidR="000C3B40" w:rsidRPr="000C3B40" w:rsidRDefault="000C3B40" w:rsidP="000C3B40">
      <w:pPr>
        <w:jc w:val="both"/>
        <w:rPr>
          <w:rFonts w:ascii="Calibri" w:hAnsi="Calibri" w:cs="Calibri"/>
          <w:color w:val="000000" w:themeColor="text1"/>
        </w:rPr>
      </w:pPr>
      <w:r w:rsidRPr="000C3B40">
        <w:rPr>
          <w:rFonts w:ascii="Calibri" w:hAnsi="Calibri" w:cs="Calibri"/>
          <w:color w:val="000000" w:themeColor="text1"/>
        </w:rPr>
        <w:t> </w:t>
      </w:r>
      <w:proofErr w:type="spellStart"/>
      <w:r w:rsidRPr="000C3B40">
        <w:rPr>
          <w:rFonts w:ascii="Calibri" w:hAnsi="Calibri" w:cs="Calibri"/>
          <w:color w:val="000000" w:themeColor="text1"/>
        </w:rPr>
        <w:t>Kovaitė</w:t>
      </w:r>
      <w:proofErr w:type="spellEnd"/>
      <w:r w:rsidRPr="000C3B40">
        <w:rPr>
          <w:rFonts w:ascii="Calibri" w:hAnsi="Calibri" w:cs="Calibri"/>
          <w:color w:val="000000" w:themeColor="text1"/>
        </w:rPr>
        <w:t xml:space="preserve">, K. &amp; </w:t>
      </w:r>
      <w:proofErr w:type="spellStart"/>
      <w:r w:rsidRPr="000C3B40">
        <w:rPr>
          <w:rFonts w:ascii="Calibri" w:hAnsi="Calibri" w:cs="Calibri"/>
          <w:color w:val="000000" w:themeColor="text1"/>
        </w:rPr>
        <w:t>Stankevičienė</w:t>
      </w:r>
      <w:proofErr w:type="spellEnd"/>
      <w:r w:rsidRPr="000C3B40">
        <w:rPr>
          <w:rFonts w:ascii="Calibri" w:hAnsi="Calibri" w:cs="Calibri"/>
          <w:color w:val="000000" w:themeColor="text1"/>
        </w:rPr>
        <w:t>, J. (2019) Risks of digitalisation of business models. </w:t>
      </w:r>
      <w:r w:rsidRPr="000C3B40">
        <w:rPr>
          <w:rFonts w:ascii="Calibri" w:hAnsi="Calibri" w:cs="Calibri"/>
          <w:i/>
          <w:iCs/>
          <w:color w:val="000000" w:themeColor="text1"/>
        </w:rPr>
        <w:t>Proceedings of 6th International Scientific Conference Contemporary Issues in Business, Management and Economics Engineering</w:t>
      </w:r>
      <w:r w:rsidRPr="000C3B40">
        <w:rPr>
          <w:rFonts w:ascii="Calibri" w:hAnsi="Calibri" w:cs="Calibri"/>
          <w:color w:val="000000" w:themeColor="text1"/>
        </w:rPr>
        <w:t> 2019. DOI: 10.3846/cibmee.2019.039. </w:t>
      </w:r>
    </w:p>
    <w:p w14:paraId="4A6C3197" w14:textId="77777777" w:rsidR="000C3B40" w:rsidRPr="000C3B40" w:rsidRDefault="000C3B40" w:rsidP="000C3B40">
      <w:pPr>
        <w:jc w:val="both"/>
        <w:rPr>
          <w:rFonts w:ascii="Calibri" w:hAnsi="Calibri" w:cs="Calibri"/>
          <w:color w:val="000000" w:themeColor="text1"/>
        </w:rPr>
      </w:pPr>
      <w:r w:rsidRPr="000C3B40">
        <w:rPr>
          <w:rFonts w:ascii="Calibri" w:hAnsi="Calibri" w:cs="Calibri"/>
          <w:color w:val="000000" w:themeColor="text1"/>
        </w:rPr>
        <w:t>Schwab, K., Davis, N., &amp; Nadella, S. (2018) Shaping the fourth industrial revolution. </w:t>
      </w:r>
      <w:r w:rsidRPr="000C3B40">
        <w:rPr>
          <w:rFonts w:ascii="Calibri" w:hAnsi="Calibri" w:cs="Calibri"/>
          <w:i/>
          <w:iCs/>
          <w:color w:val="000000" w:themeColor="text1"/>
        </w:rPr>
        <w:t>Currency</w:t>
      </w:r>
      <w:r w:rsidRPr="000C3B40">
        <w:rPr>
          <w:rFonts w:ascii="Calibri" w:hAnsi="Calibri" w:cs="Calibri"/>
          <w:color w:val="000000" w:themeColor="text1"/>
        </w:rPr>
        <w:t>. </w:t>
      </w:r>
    </w:p>
    <w:p w14:paraId="33B741B4" w14:textId="77777777" w:rsidR="000C3B40" w:rsidRPr="000C3B40" w:rsidRDefault="000C3B40" w:rsidP="000C3B40">
      <w:pPr>
        <w:jc w:val="both"/>
        <w:rPr>
          <w:rFonts w:ascii="Calibri" w:hAnsi="Calibri" w:cs="Calibri"/>
          <w:color w:val="000000" w:themeColor="text1"/>
        </w:rPr>
      </w:pPr>
      <w:r w:rsidRPr="000C3B40">
        <w:rPr>
          <w:rFonts w:ascii="Calibri" w:hAnsi="Calibri" w:cs="Calibri"/>
          <w:color w:val="000000" w:themeColor="text1"/>
        </w:rPr>
        <w:t>Zhong, R. Y., Xu, X., Klotz, E., &amp; Newman, S. T. (2017). Intelligent manufacturing in the context of Industry 4.0: a review. </w:t>
      </w:r>
      <w:r w:rsidRPr="000C3B40">
        <w:rPr>
          <w:rFonts w:ascii="Calibri" w:hAnsi="Calibri" w:cs="Calibri"/>
          <w:i/>
          <w:iCs/>
          <w:color w:val="000000" w:themeColor="text1"/>
        </w:rPr>
        <w:t>Engineering</w:t>
      </w:r>
      <w:r w:rsidRPr="000C3B40">
        <w:rPr>
          <w:rFonts w:ascii="Calibri" w:hAnsi="Calibri" w:cs="Calibri"/>
          <w:color w:val="000000" w:themeColor="text1"/>
        </w:rPr>
        <w:t> 3(5): 616-630. https://doi.org/10.1016/J.ENG.2017.05.015</w:t>
      </w:r>
    </w:p>
    <w:p w14:paraId="03DEAC00" w14:textId="7E5A90C0" w:rsidR="003B6BBD" w:rsidRPr="003B6BBD" w:rsidRDefault="003B6BBD" w:rsidP="003B6BBD">
      <w:pPr>
        <w:jc w:val="both"/>
        <w:rPr>
          <w:rFonts w:ascii="Calibri" w:hAnsi="Calibri" w:cs="Calibri"/>
          <w:color w:val="000000" w:themeColor="text1"/>
        </w:rPr>
      </w:pPr>
    </w:p>
    <w:sectPr w:rsidR="003B6BBD" w:rsidRPr="003B6B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16354"/>
    <w:multiLevelType w:val="multilevel"/>
    <w:tmpl w:val="8D64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815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8A9"/>
    <w:rsid w:val="000C3B40"/>
    <w:rsid w:val="002F38A9"/>
    <w:rsid w:val="003B6BBD"/>
    <w:rsid w:val="00477973"/>
    <w:rsid w:val="007501D7"/>
    <w:rsid w:val="00916284"/>
    <w:rsid w:val="00A339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7F0D"/>
  <w15:chartTrackingRefBased/>
  <w15:docId w15:val="{10EDC80F-B004-C846-9CE6-B168E31B0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F38A9"/>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38A9"/>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2F38A9"/>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661014">
      <w:bodyDiv w:val="1"/>
      <w:marLeft w:val="0"/>
      <w:marRight w:val="0"/>
      <w:marTop w:val="0"/>
      <w:marBottom w:val="0"/>
      <w:divBdr>
        <w:top w:val="none" w:sz="0" w:space="0" w:color="auto"/>
        <w:left w:val="none" w:sz="0" w:space="0" w:color="auto"/>
        <w:bottom w:val="none" w:sz="0" w:space="0" w:color="auto"/>
        <w:right w:val="none" w:sz="0" w:space="0" w:color="auto"/>
      </w:divBdr>
      <w:divsChild>
        <w:div w:id="1548756796">
          <w:marLeft w:val="0"/>
          <w:marRight w:val="0"/>
          <w:marTop w:val="0"/>
          <w:marBottom w:val="0"/>
          <w:divBdr>
            <w:top w:val="none" w:sz="0" w:space="0" w:color="auto"/>
            <w:left w:val="none" w:sz="0" w:space="0" w:color="auto"/>
            <w:bottom w:val="none" w:sz="0" w:space="0" w:color="auto"/>
            <w:right w:val="none" w:sz="0" w:space="0" w:color="auto"/>
          </w:divBdr>
        </w:div>
      </w:divsChild>
    </w:div>
    <w:div w:id="1361008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Manaog, Marianne L</dc:creator>
  <cp:keywords/>
  <dc:description/>
  <cp:lastModifiedBy>Peter Osifo</cp:lastModifiedBy>
  <cp:revision>2</cp:revision>
  <dcterms:created xsi:type="dcterms:W3CDTF">2025-10-19T06:55:00Z</dcterms:created>
  <dcterms:modified xsi:type="dcterms:W3CDTF">2025-10-19T06:55:00Z</dcterms:modified>
</cp:coreProperties>
</file>