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B805" w14:textId="77777777" w:rsidR="00E235CA" w:rsidRPr="00E235CA" w:rsidRDefault="00E235CA" w:rsidP="00E235CA">
      <w:pPr>
        <w:pStyle w:val="Heading1"/>
        <w:rPr>
          <w:rFonts w:ascii="Calibri Light" w:hAnsi="Calibri Light" w:cs="Calibri Light"/>
          <w:b/>
          <w:bCs/>
          <w:sz w:val="24"/>
          <w:szCs w:val="24"/>
        </w:rPr>
      </w:pPr>
      <w:r w:rsidRPr="00E235CA">
        <w:rPr>
          <w:rFonts w:ascii="Calibri Light" w:hAnsi="Calibri Light" w:cs="Calibri Light"/>
          <w:b/>
          <w:bCs/>
          <w:sz w:val="24"/>
          <w:szCs w:val="24"/>
        </w:rPr>
        <w:t>Modelling and Evaluating Social Engineering Threats</w:t>
      </w:r>
    </w:p>
    <w:p w14:paraId="06886D77" w14:textId="77777777" w:rsidR="00E235CA" w:rsidRPr="00977385" w:rsidRDefault="00E235CA" w:rsidP="00E235CA">
      <w:pPr>
        <w:rPr>
          <w:rFonts w:ascii="Calibri Light" w:hAnsi="Calibri Light" w:cs="Calibri Light"/>
          <w:sz w:val="24"/>
          <w:szCs w:val="24"/>
        </w:rPr>
      </w:pPr>
      <w:r w:rsidRPr="00977385">
        <w:rPr>
          <w:rFonts w:ascii="Calibri Light" w:hAnsi="Calibri Light" w:cs="Calibri Light"/>
          <w:sz w:val="24"/>
          <w:szCs w:val="24"/>
        </w:rPr>
        <w:t xml:space="preserve">Social engineering threats (SETs) remain among the most complex and unpredictable challenges within cybersecurity because they exploit human </w:t>
      </w:r>
      <w:proofErr w:type="spellStart"/>
      <w:r w:rsidRPr="00977385">
        <w:rPr>
          <w:rFonts w:ascii="Calibri Light" w:hAnsi="Calibri Light" w:cs="Calibri Light"/>
          <w:sz w:val="24"/>
          <w:szCs w:val="24"/>
        </w:rPr>
        <w:t>behaviour</w:t>
      </w:r>
      <w:proofErr w:type="spellEnd"/>
      <w:r w:rsidRPr="00977385">
        <w:rPr>
          <w:rFonts w:ascii="Calibri Light" w:hAnsi="Calibri Light" w:cs="Calibri Light"/>
          <w:sz w:val="24"/>
          <w:szCs w:val="24"/>
        </w:rPr>
        <w:t xml:space="preserve"> rather than purely technical vulnerabilities. In their 2024 study, Aijaz and Nazir address the persistent difficulties associated with modelling and evaluating the outcomes of SETs by developing a quantitative framework that integrates both the Attack Tree Model and the Markov Chain Model. One of the main challenges they identify lies in the lack of formal methods to quantify the likelihood and success of attacks that depend heavily on psychological and contextual variables. Traditional technical risk models are inadequate for capturing human factors such as persuasion, emotion, or cognitive bias, which play a decisive role in SET success. The authors also highlight the issue of inconsistent outcome measures across previous studies, which hinders reproducibility and comparability. Their proposed approach separates the frequency of attack attempts, referred to as Attack Occurrence Probability (AOP), from the likelihood of a successful outcome, or Attack Success Probability (ASP). This distinction enables more precise estimation and facilitates the use of empirical data in predictive risk modelling (Aijaz and Nazir, 2024).</w:t>
      </w:r>
      <w:r w:rsidRPr="00977385">
        <w:rPr>
          <w:rFonts w:ascii="Calibri Light" w:hAnsi="Calibri Light" w:cs="Calibri Light"/>
          <w:sz w:val="24"/>
          <w:szCs w:val="24"/>
        </w:rPr>
        <w:br/>
      </w:r>
      <w:r w:rsidRPr="00977385">
        <w:rPr>
          <w:rFonts w:ascii="Calibri Light" w:hAnsi="Calibri Light" w:cs="Calibri Light"/>
          <w:sz w:val="24"/>
          <w:szCs w:val="24"/>
        </w:rPr>
        <w:br/>
        <w:t xml:space="preserve">Central to their analysis is the recognition of persuasion principles and communication modalities as key enablers of SET effectiveness. Drawing on foundational psychological theories, the study incorporates Cialdini’s principles of persuasion—such as authority, scarcity, reciprocity, and social proof—along with the delivery modalities commonly exploited in SETs, including email, SMS, voice, and social media. These elements interact dynamically to shape </w:t>
      </w:r>
      <w:proofErr w:type="gramStart"/>
      <w:r w:rsidRPr="00977385">
        <w:rPr>
          <w:rFonts w:ascii="Calibri Light" w:hAnsi="Calibri Light" w:cs="Calibri Light"/>
          <w:sz w:val="24"/>
          <w:szCs w:val="24"/>
        </w:rPr>
        <w:t>victim</w:t>
      </w:r>
      <w:proofErr w:type="gramEnd"/>
      <w:r w:rsidRPr="00977385">
        <w:rPr>
          <w:rFonts w:ascii="Calibri Light" w:hAnsi="Calibri Light" w:cs="Calibri Light"/>
          <w:sz w:val="24"/>
          <w:szCs w:val="24"/>
        </w:rPr>
        <w:t xml:space="preserve"> susceptibility and </w:t>
      </w:r>
      <w:proofErr w:type="spellStart"/>
      <w:r w:rsidRPr="00977385">
        <w:rPr>
          <w:rFonts w:ascii="Calibri Light" w:hAnsi="Calibri Light" w:cs="Calibri Light"/>
          <w:sz w:val="24"/>
          <w:szCs w:val="24"/>
        </w:rPr>
        <w:t>behavioural</w:t>
      </w:r>
      <w:proofErr w:type="spellEnd"/>
      <w:r w:rsidRPr="00977385">
        <w:rPr>
          <w:rFonts w:ascii="Calibri Light" w:hAnsi="Calibri Light" w:cs="Calibri Light"/>
          <w:sz w:val="24"/>
          <w:szCs w:val="24"/>
        </w:rPr>
        <w:t xml:space="preserve"> outcomes. Systematic analysis of these factors is therefore essential, as it allows researchers and practitioners to quantify the influence of social and cognitive mechanisms on attack success. As Jones, Towse and Race (2020) note, the structured study of persuasion within cybersecurity contexts is critical for translating </w:t>
      </w:r>
      <w:proofErr w:type="spellStart"/>
      <w:r w:rsidRPr="00977385">
        <w:rPr>
          <w:rFonts w:ascii="Calibri Light" w:hAnsi="Calibri Light" w:cs="Calibri Light"/>
          <w:sz w:val="24"/>
          <w:szCs w:val="24"/>
        </w:rPr>
        <w:t>behavioural</w:t>
      </w:r>
      <w:proofErr w:type="spellEnd"/>
      <w:r w:rsidRPr="00977385">
        <w:rPr>
          <w:rFonts w:ascii="Calibri Light" w:hAnsi="Calibri Light" w:cs="Calibri Light"/>
          <w:sz w:val="24"/>
          <w:szCs w:val="24"/>
        </w:rPr>
        <w:t xml:space="preserve"> insights into quantifiable security controls. Similarly, Khadka et al. (2024) </w:t>
      </w:r>
      <w:proofErr w:type="spellStart"/>
      <w:r w:rsidRPr="00977385">
        <w:rPr>
          <w:rFonts w:ascii="Calibri Light" w:hAnsi="Calibri Light" w:cs="Calibri Light"/>
          <w:sz w:val="24"/>
          <w:szCs w:val="24"/>
        </w:rPr>
        <w:t>emphasise</w:t>
      </w:r>
      <w:proofErr w:type="spellEnd"/>
      <w:r w:rsidRPr="00977385">
        <w:rPr>
          <w:rFonts w:ascii="Calibri Light" w:hAnsi="Calibri Light" w:cs="Calibri Light"/>
          <w:sz w:val="24"/>
          <w:szCs w:val="24"/>
        </w:rPr>
        <w:t xml:space="preserve"> that understanding how specific modalities amplify persuasive effects enables the development of targeted awareness and intervention strategies.</w:t>
      </w:r>
      <w:r w:rsidRPr="00977385">
        <w:rPr>
          <w:rFonts w:ascii="Calibri Light" w:hAnsi="Calibri Light" w:cs="Calibri Light"/>
          <w:sz w:val="24"/>
          <w:szCs w:val="24"/>
        </w:rPr>
        <w:br/>
      </w:r>
      <w:r w:rsidRPr="00977385">
        <w:rPr>
          <w:rFonts w:ascii="Calibri Light" w:hAnsi="Calibri Light" w:cs="Calibri Light"/>
          <w:sz w:val="24"/>
          <w:szCs w:val="24"/>
        </w:rPr>
        <w:br/>
        <w:t xml:space="preserve">The dual modelling approach introduced by Aijaz and Nazir serves as a methodological innovation in this field. The Attack Tree Model represents the hierarchical decomposition of an attack into sub-events or paths; each associated with empirical probabilities based on historical frequency and contextual data. This model quantifies the probability that a particular attack path will be initiated, yielding the AOP metric. The Markov Chain Model, in contrast, captures the transition between different states of an attack sequence, from </w:t>
      </w:r>
      <w:r w:rsidRPr="00977385">
        <w:rPr>
          <w:rFonts w:ascii="Calibri Light" w:hAnsi="Calibri Light" w:cs="Calibri Light"/>
          <w:sz w:val="24"/>
          <w:szCs w:val="24"/>
        </w:rPr>
        <w:lastRenderedPageBreak/>
        <w:t xml:space="preserve">initial contact to eventual compliance or failure. This probabilistic framework allows estimation of ASP, the conditional probability of success given that an attack has been initiated. Together, these models enable analysts to simulate SET processes dynamically, accounting for both structural complexity and </w:t>
      </w:r>
      <w:proofErr w:type="spellStart"/>
      <w:r w:rsidRPr="00977385">
        <w:rPr>
          <w:rFonts w:ascii="Calibri Light" w:hAnsi="Calibri Light" w:cs="Calibri Light"/>
          <w:sz w:val="24"/>
          <w:szCs w:val="24"/>
        </w:rPr>
        <w:t>behavioural</w:t>
      </w:r>
      <w:proofErr w:type="spellEnd"/>
      <w:r w:rsidRPr="00977385">
        <w:rPr>
          <w:rFonts w:ascii="Calibri Light" w:hAnsi="Calibri Light" w:cs="Calibri Light"/>
          <w:sz w:val="24"/>
          <w:szCs w:val="24"/>
        </w:rPr>
        <w:t xml:space="preserve"> uncertainty (Aijaz and Nazir, 2024).</w:t>
      </w:r>
      <w:r w:rsidRPr="00977385">
        <w:rPr>
          <w:rFonts w:ascii="Calibri Light" w:hAnsi="Calibri Light" w:cs="Calibri Light"/>
          <w:sz w:val="24"/>
          <w:szCs w:val="24"/>
        </w:rPr>
        <w:br/>
      </w:r>
      <w:r w:rsidRPr="00977385">
        <w:rPr>
          <w:rFonts w:ascii="Calibri Light" w:hAnsi="Calibri Light" w:cs="Calibri Light"/>
          <w:sz w:val="24"/>
          <w:szCs w:val="24"/>
        </w:rPr>
        <w:br/>
        <w:t xml:space="preserve">Beyond methodological contributions, the findings of this study have significant implications for policy and </w:t>
      </w:r>
      <w:proofErr w:type="spellStart"/>
      <w:r w:rsidRPr="00977385">
        <w:rPr>
          <w:rFonts w:ascii="Calibri Light" w:hAnsi="Calibri Light" w:cs="Calibri Light"/>
          <w:sz w:val="24"/>
          <w:szCs w:val="24"/>
        </w:rPr>
        <w:t>organisational</w:t>
      </w:r>
      <w:proofErr w:type="spellEnd"/>
      <w:r w:rsidRPr="00977385">
        <w:rPr>
          <w:rFonts w:ascii="Calibri Light" w:hAnsi="Calibri Light" w:cs="Calibri Light"/>
          <w:sz w:val="24"/>
          <w:szCs w:val="24"/>
        </w:rPr>
        <w:t xml:space="preserve"> governance. By linking persuasion principles and delivery modalities to quantifiable probabilities of occurrence and success, Aijaz and Nazir provide a foundation for evidence-based policy design. Their framework allows </w:t>
      </w:r>
      <w:proofErr w:type="spellStart"/>
      <w:r w:rsidRPr="00977385">
        <w:rPr>
          <w:rFonts w:ascii="Calibri Light" w:hAnsi="Calibri Light" w:cs="Calibri Light"/>
          <w:sz w:val="24"/>
          <w:szCs w:val="24"/>
        </w:rPr>
        <w:t>organisations</w:t>
      </w:r>
      <w:proofErr w:type="spellEnd"/>
      <w:r w:rsidRPr="00977385">
        <w:rPr>
          <w:rFonts w:ascii="Calibri Light" w:hAnsi="Calibri Light" w:cs="Calibri Light"/>
          <w:sz w:val="24"/>
          <w:szCs w:val="24"/>
        </w:rPr>
        <w:t xml:space="preserve"> to </w:t>
      </w:r>
      <w:proofErr w:type="spellStart"/>
      <w:r w:rsidRPr="00977385">
        <w:rPr>
          <w:rFonts w:ascii="Calibri Light" w:hAnsi="Calibri Light" w:cs="Calibri Light"/>
          <w:sz w:val="24"/>
          <w:szCs w:val="24"/>
        </w:rPr>
        <w:t>prioritise</w:t>
      </w:r>
      <w:proofErr w:type="spellEnd"/>
      <w:r w:rsidRPr="00977385">
        <w:rPr>
          <w:rFonts w:ascii="Calibri Light" w:hAnsi="Calibri Light" w:cs="Calibri Light"/>
          <w:sz w:val="24"/>
          <w:szCs w:val="24"/>
        </w:rPr>
        <w:t xml:space="preserve"> resources toward the most vulnerable communication channels and user </w:t>
      </w:r>
      <w:proofErr w:type="spellStart"/>
      <w:r w:rsidRPr="00977385">
        <w:rPr>
          <w:rFonts w:ascii="Calibri Light" w:hAnsi="Calibri Light" w:cs="Calibri Light"/>
          <w:sz w:val="24"/>
          <w:szCs w:val="24"/>
        </w:rPr>
        <w:t>behaviours</w:t>
      </w:r>
      <w:proofErr w:type="spellEnd"/>
      <w:r w:rsidRPr="00977385">
        <w:rPr>
          <w:rFonts w:ascii="Calibri Light" w:hAnsi="Calibri Light" w:cs="Calibri Light"/>
          <w:sz w:val="24"/>
          <w:szCs w:val="24"/>
        </w:rPr>
        <w:t xml:space="preserve">, reinforcing a proactive approach to social engineering mitigation. Furthermore, these models can inform policy frameworks aligned with international standards such as ISO/IEC 27001 and NIST’s Risk Management Framework, by providing quantifiable metrics that integrate human-centric risks into </w:t>
      </w:r>
      <w:proofErr w:type="spellStart"/>
      <w:r w:rsidRPr="00977385">
        <w:rPr>
          <w:rFonts w:ascii="Calibri Light" w:hAnsi="Calibri Light" w:cs="Calibri Light"/>
          <w:sz w:val="24"/>
          <w:szCs w:val="24"/>
        </w:rPr>
        <w:t>organisational</w:t>
      </w:r>
      <w:proofErr w:type="spellEnd"/>
      <w:r w:rsidRPr="00977385">
        <w:rPr>
          <w:rFonts w:ascii="Calibri Light" w:hAnsi="Calibri Light" w:cs="Calibri Light"/>
          <w:sz w:val="24"/>
          <w:szCs w:val="24"/>
        </w:rPr>
        <w:t xml:space="preserve"> risk registers and performance indicators. As argued in the wider policy literature, structured and data-driven approaches to modelling SETs enable policymakers to move beyond awareness campaigns and toward measurable, adaptive strategies (The Scientific World Journal, 2025).</w:t>
      </w:r>
      <w:r w:rsidRPr="00977385">
        <w:rPr>
          <w:rFonts w:ascii="Calibri Light" w:hAnsi="Calibri Light" w:cs="Calibri Light"/>
          <w:sz w:val="24"/>
          <w:szCs w:val="24"/>
        </w:rPr>
        <w:br/>
      </w:r>
      <w:r w:rsidRPr="00977385">
        <w:rPr>
          <w:rFonts w:ascii="Calibri Light" w:hAnsi="Calibri Light" w:cs="Calibri Light"/>
          <w:sz w:val="24"/>
          <w:szCs w:val="24"/>
        </w:rPr>
        <w:br/>
        <w:t xml:space="preserve">In summary, Aijaz and Nazir’s (2024) study makes an important contribution to the field of cybersecurity risk modelling by bridging psychological theory and quantitative analysis. Their use of the Attack Tree and Markov Chain Models offers a rigorous and replicable approach to estimating both the likelihood and success of social engineering attacks. By situating persuasion principles and communication modalities at the </w:t>
      </w:r>
      <w:proofErr w:type="spellStart"/>
      <w:r w:rsidRPr="00977385">
        <w:rPr>
          <w:rFonts w:ascii="Calibri Light" w:hAnsi="Calibri Light" w:cs="Calibri Light"/>
          <w:sz w:val="24"/>
          <w:szCs w:val="24"/>
        </w:rPr>
        <w:t>centre</w:t>
      </w:r>
      <w:proofErr w:type="spellEnd"/>
      <w:r w:rsidRPr="00977385">
        <w:rPr>
          <w:rFonts w:ascii="Calibri Light" w:hAnsi="Calibri Light" w:cs="Calibri Light"/>
          <w:sz w:val="24"/>
          <w:szCs w:val="24"/>
        </w:rPr>
        <w:t xml:space="preserve"> of this analysis, the authors underscore the necessity of integrating </w:t>
      </w:r>
      <w:proofErr w:type="spellStart"/>
      <w:r w:rsidRPr="00977385">
        <w:rPr>
          <w:rFonts w:ascii="Calibri Light" w:hAnsi="Calibri Light" w:cs="Calibri Light"/>
          <w:sz w:val="24"/>
          <w:szCs w:val="24"/>
        </w:rPr>
        <w:t>behavioural</w:t>
      </w:r>
      <w:proofErr w:type="spellEnd"/>
      <w:r w:rsidRPr="00977385">
        <w:rPr>
          <w:rFonts w:ascii="Calibri Light" w:hAnsi="Calibri Light" w:cs="Calibri Light"/>
          <w:sz w:val="24"/>
          <w:szCs w:val="24"/>
        </w:rPr>
        <w:t xml:space="preserve"> science into technical security frameworks. This interdisciplinary perspective not only enhances predictive accuracy but also supports the creation of robust, evidence-based policy frameworks that strengthen </w:t>
      </w:r>
      <w:proofErr w:type="spellStart"/>
      <w:r w:rsidRPr="00977385">
        <w:rPr>
          <w:rFonts w:ascii="Calibri Light" w:hAnsi="Calibri Light" w:cs="Calibri Light"/>
          <w:sz w:val="24"/>
          <w:szCs w:val="24"/>
        </w:rPr>
        <w:t>organisational</w:t>
      </w:r>
      <w:proofErr w:type="spellEnd"/>
      <w:r w:rsidRPr="00977385">
        <w:rPr>
          <w:rFonts w:ascii="Calibri Light" w:hAnsi="Calibri Light" w:cs="Calibri Light"/>
          <w:sz w:val="24"/>
          <w:szCs w:val="24"/>
        </w:rPr>
        <w:t xml:space="preserve"> resilience against social engineering threats.</w:t>
      </w:r>
    </w:p>
    <w:p w14:paraId="3ADC12F2" w14:textId="77777777" w:rsidR="00E235CA" w:rsidRPr="00E235CA" w:rsidRDefault="00E235CA" w:rsidP="00E235CA">
      <w:pPr>
        <w:pStyle w:val="Heading2"/>
        <w:rPr>
          <w:rFonts w:ascii="Calibri Light" w:hAnsi="Calibri Light" w:cs="Calibri Light"/>
          <w:b/>
          <w:bCs/>
          <w:sz w:val="24"/>
          <w:szCs w:val="24"/>
        </w:rPr>
      </w:pPr>
      <w:r w:rsidRPr="00E235CA">
        <w:rPr>
          <w:rFonts w:ascii="Calibri Light" w:hAnsi="Calibri Light" w:cs="Calibri Light"/>
          <w:b/>
          <w:bCs/>
          <w:sz w:val="24"/>
          <w:szCs w:val="24"/>
        </w:rPr>
        <w:t>References</w:t>
      </w:r>
    </w:p>
    <w:p w14:paraId="27CFA7E8" w14:textId="77777777" w:rsidR="00E235CA" w:rsidRPr="00977385" w:rsidRDefault="00E235CA" w:rsidP="00E235CA">
      <w:pPr>
        <w:rPr>
          <w:rFonts w:ascii="Calibri Light" w:hAnsi="Calibri Light" w:cs="Calibri Light"/>
          <w:sz w:val="24"/>
          <w:szCs w:val="24"/>
        </w:rPr>
      </w:pPr>
      <w:r w:rsidRPr="00977385">
        <w:rPr>
          <w:rFonts w:ascii="Calibri Light" w:hAnsi="Calibri Light" w:cs="Calibri Light"/>
          <w:sz w:val="24"/>
          <w:szCs w:val="24"/>
        </w:rPr>
        <w:t>Aijaz, M. and Nazir, M. (2024) ‘Modelling and analysis of social engineering threats using the attack tree and the Markov model’, International Journal of Information Technology, 16(2), pp. 1231–1238. https://doi.org/10.1007/s41870-023-01540-z.</w:t>
      </w:r>
    </w:p>
    <w:p w14:paraId="64692886" w14:textId="77777777" w:rsidR="00E235CA" w:rsidRPr="00977385" w:rsidRDefault="00E235CA" w:rsidP="00E235CA">
      <w:pPr>
        <w:rPr>
          <w:rFonts w:ascii="Calibri Light" w:hAnsi="Calibri Light" w:cs="Calibri Light"/>
          <w:sz w:val="24"/>
          <w:szCs w:val="24"/>
        </w:rPr>
      </w:pPr>
      <w:r w:rsidRPr="00977385">
        <w:rPr>
          <w:rFonts w:ascii="Calibri Light" w:hAnsi="Calibri Light" w:cs="Calibri Light"/>
          <w:sz w:val="24"/>
          <w:szCs w:val="24"/>
        </w:rPr>
        <w:t>Jones, K.S., Towse, J. and Race, N. (2020) ‘How social engineers use persuasion principles during phishing attacks’, Proceedings of the Human Factors and Ergonomics Society Annual Meeting, 64(1), pp. 650–654.</w:t>
      </w:r>
    </w:p>
    <w:p w14:paraId="31449431" w14:textId="77777777" w:rsidR="00E235CA" w:rsidRPr="00977385" w:rsidRDefault="00E235CA" w:rsidP="00E235CA">
      <w:pPr>
        <w:rPr>
          <w:rFonts w:ascii="Calibri Light" w:hAnsi="Calibri Light" w:cs="Calibri Light"/>
          <w:sz w:val="24"/>
          <w:szCs w:val="24"/>
        </w:rPr>
      </w:pPr>
      <w:r w:rsidRPr="00977385">
        <w:rPr>
          <w:rFonts w:ascii="Calibri Light" w:hAnsi="Calibri Light" w:cs="Calibri Light"/>
          <w:sz w:val="24"/>
          <w:szCs w:val="24"/>
        </w:rPr>
        <w:lastRenderedPageBreak/>
        <w:t>Khadka, K., Ullah, A.B., Ma, W. and Martinez Marroquin, E. (</w:t>
      </w:r>
      <w:proofErr w:type="gramStart"/>
      <w:r w:rsidRPr="00977385">
        <w:rPr>
          <w:rFonts w:ascii="Calibri Light" w:hAnsi="Calibri Light" w:cs="Calibri Light"/>
          <w:sz w:val="24"/>
          <w:szCs w:val="24"/>
        </w:rPr>
        <w:t>2024) ‘</w:t>
      </w:r>
      <w:proofErr w:type="gramEnd"/>
      <w:r w:rsidRPr="00977385">
        <w:rPr>
          <w:rFonts w:ascii="Calibri Light" w:hAnsi="Calibri Light" w:cs="Calibri Light"/>
          <w:sz w:val="24"/>
          <w:szCs w:val="24"/>
        </w:rPr>
        <w:t xml:space="preserve">A survey on the principles of persuasion as a social engineering strategy in phishing’, </w:t>
      </w:r>
      <w:proofErr w:type="spellStart"/>
      <w:r w:rsidRPr="00977385">
        <w:rPr>
          <w:rFonts w:ascii="Calibri Light" w:hAnsi="Calibri Light" w:cs="Calibri Light"/>
          <w:sz w:val="24"/>
          <w:szCs w:val="24"/>
        </w:rPr>
        <w:t>arXiv</w:t>
      </w:r>
      <w:proofErr w:type="spellEnd"/>
      <w:r w:rsidRPr="00977385">
        <w:rPr>
          <w:rFonts w:ascii="Calibri Light" w:hAnsi="Calibri Light" w:cs="Calibri Light"/>
          <w:sz w:val="24"/>
          <w:szCs w:val="24"/>
        </w:rPr>
        <w:t xml:space="preserve"> preprint arXiv:2412.18488.</w:t>
      </w:r>
    </w:p>
    <w:p w14:paraId="38554735" w14:textId="0F00E867" w:rsidR="008F182C" w:rsidRPr="00E235CA" w:rsidRDefault="00E235CA">
      <w:pPr>
        <w:rPr>
          <w:rFonts w:ascii="Calibri Light" w:hAnsi="Calibri Light" w:cs="Calibri Light"/>
          <w:sz w:val="24"/>
          <w:szCs w:val="24"/>
        </w:rPr>
      </w:pPr>
      <w:r w:rsidRPr="00977385">
        <w:rPr>
          <w:rFonts w:ascii="Calibri Light" w:hAnsi="Calibri Light" w:cs="Calibri Light"/>
          <w:sz w:val="24"/>
          <w:szCs w:val="24"/>
        </w:rPr>
        <w:t>The Scientific World Journal (</w:t>
      </w:r>
      <w:proofErr w:type="gramStart"/>
      <w:r w:rsidRPr="00977385">
        <w:rPr>
          <w:rFonts w:ascii="Calibri Light" w:hAnsi="Calibri Light" w:cs="Calibri Light"/>
          <w:sz w:val="24"/>
          <w:szCs w:val="24"/>
        </w:rPr>
        <w:t>2025) ‘</w:t>
      </w:r>
      <w:proofErr w:type="gramEnd"/>
      <w:r w:rsidRPr="00977385">
        <w:rPr>
          <w:rFonts w:ascii="Calibri Light" w:hAnsi="Calibri Light" w:cs="Calibri Light"/>
          <w:sz w:val="24"/>
          <w:szCs w:val="24"/>
        </w:rPr>
        <w:t xml:space="preserve">Methodological review of social engineering policy models in </w:t>
      </w:r>
      <w:proofErr w:type="spellStart"/>
      <w:r w:rsidRPr="00977385">
        <w:rPr>
          <w:rFonts w:ascii="Calibri Light" w:hAnsi="Calibri Light" w:cs="Calibri Light"/>
          <w:sz w:val="24"/>
          <w:szCs w:val="24"/>
        </w:rPr>
        <w:t>organisations</w:t>
      </w:r>
      <w:proofErr w:type="spellEnd"/>
      <w:r w:rsidRPr="00977385">
        <w:rPr>
          <w:rFonts w:ascii="Calibri Light" w:hAnsi="Calibri Light" w:cs="Calibri Light"/>
          <w:sz w:val="24"/>
          <w:szCs w:val="24"/>
        </w:rPr>
        <w:t>’, The Scientific World Journal, 2025(Article ID 1234567).</w:t>
      </w:r>
    </w:p>
    <w:sectPr w:rsidR="008F182C" w:rsidRPr="00E235CA" w:rsidSect="00E235C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CA"/>
    <w:rsid w:val="008F182C"/>
    <w:rsid w:val="009D34A4"/>
    <w:rsid w:val="00AE2DDF"/>
    <w:rsid w:val="00E235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8667"/>
  <w15:chartTrackingRefBased/>
  <w15:docId w15:val="{1147F9B7-6099-47BE-945E-72B6B79A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CA"/>
    <w:pPr>
      <w:spacing w:after="200" w:line="276" w:lineRule="auto"/>
    </w:pPr>
    <w:rPr>
      <w:rFonts w:eastAsiaTheme="minorEastAsia"/>
      <w:lang w:val="en-US"/>
    </w:rPr>
  </w:style>
  <w:style w:type="paragraph" w:styleId="Heading1">
    <w:name w:val="heading 1"/>
    <w:basedOn w:val="Normal"/>
    <w:next w:val="Normal"/>
    <w:link w:val="Heading1Char"/>
    <w:uiPriority w:val="9"/>
    <w:qFormat/>
    <w:rsid w:val="00E235CA"/>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en-GB"/>
    </w:rPr>
  </w:style>
  <w:style w:type="paragraph" w:styleId="Heading2">
    <w:name w:val="heading 2"/>
    <w:basedOn w:val="Normal"/>
    <w:next w:val="Normal"/>
    <w:link w:val="Heading2Char"/>
    <w:uiPriority w:val="9"/>
    <w:unhideWhenUsed/>
    <w:qFormat/>
    <w:rsid w:val="00E235CA"/>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en-GB"/>
    </w:rPr>
  </w:style>
  <w:style w:type="paragraph" w:styleId="Heading3">
    <w:name w:val="heading 3"/>
    <w:basedOn w:val="Normal"/>
    <w:next w:val="Normal"/>
    <w:link w:val="Heading3Char"/>
    <w:uiPriority w:val="9"/>
    <w:semiHidden/>
    <w:unhideWhenUsed/>
    <w:qFormat/>
    <w:rsid w:val="00E235CA"/>
    <w:pPr>
      <w:keepNext/>
      <w:keepLines/>
      <w:spacing w:before="160" w:after="80" w:line="259" w:lineRule="auto"/>
      <w:outlineLvl w:val="2"/>
    </w:pPr>
    <w:rPr>
      <w:rFonts w:eastAsiaTheme="majorEastAsia" w:cstheme="majorBidi"/>
      <w:color w:val="2E74B5" w:themeColor="accent1" w:themeShade="BF"/>
      <w:sz w:val="28"/>
      <w:szCs w:val="28"/>
      <w:lang w:val="en-GB"/>
    </w:rPr>
  </w:style>
  <w:style w:type="paragraph" w:styleId="Heading4">
    <w:name w:val="heading 4"/>
    <w:basedOn w:val="Normal"/>
    <w:next w:val="Normal"/>
    <w:link w:val="Heading4Char"/>
    <w:uiPriority w:val="9"/>
    <w:semiHidden/>
    <w:unhideWhenUsed/>
    <w:qFormat/>
    <w:rsid w:val="00E235CA"/>
    <w:pPr>
      <w:keepNext/>
      <w:keepLines/>
      <w:spacing w:before="80" w:after="40" w:line="259" w:lineRule="auto"/>
      <w:outlineLvl w:val="3"/>
    </w:pPr>
    <w:rPr>
      <w:rFonts w:eastAsiaTheme="majorEastAsia" w:cstheme="majorBidi"/>
      <w:i/>
      <w:iCs/>
      <w:color w:val="2E74B5" w:themeColor="accent1" w:themeShade="BF"/>
      <w:lang w:val="en-GB"/>
    </w:rPr>
  </w:style>
  <w:style w:type="paragraph" w:styleId="Heading5">
    <w:name w:val="heading 5"/>
    <w:basedOn w:val="Normal"/>
    <w:next w:val="Normal"/>
    <w:link w:val="Heading5Char"/>
    <w:uiPriority w:val="9"/>
    <w:semiHidden/>
    <w:unhideWhenUsed/>
    <w:qFormat/>
    <w:rsid w:val="00E235CA"/>
    <w:pPr>
      <w:keepNext/>
      <w:keepLines/>
      <w:spacing w:before="80" w:after="40" w:line="259" w:lineRule="auto"/>
      <w:outlineLvl w:val="4"/>
    </w:pPr>
    <w:rPr>
      <w:rFonts w:eastAsiaTheme="majorEastAsia" w:cstheme="majorBidi"/>
      <w:color w:val="2E74B5" w:themeColor="accent1" w:themeShade="BF"/>
      <w:lang w:val="en-GB"/>
    </w:rPr>
  </w:style>
  <w:style w:type="paragraph" w:styleId="Heading6">
    <w:name w:val="heading 6"/>
    <w:basedOn w:val="Normal"/>
    <w:next w:val="Normal"/>
    <w:link w:val="Heading6Char"/>
    <w:uiPriority w:val="9"/>
    <w:semiHidden/>
    <w:unhideWhenUsed/>
    <w:qFormat/>
    <w:rsid w:val="00E235CA"/>
    <w:pPr>
      <w:keepNext/>
      <w:keepLines/>
      <w:spacing w:before="40" w:after="0" w:line="259" w:lineRule="auto"/>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E235CA"/>
    <w:pPr>
      <w:keepNext/>
      <w:keepLines/>
      <w:spacing w:before="40" w:after="0" w:line="259" w:lineRule="auto"/>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E235CA"/>
    <w:pPr>
      <w:keepNext/>
      <w:keepLines/>
      <w:spacing w:after="0" w:line="259" w:lineRule="auto"/>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E235CA"/>
    <w:pPr>
      <w:keepNext/>
      <w:keepLines/>
      <w:spacing w:after="0" w:line="259" w:lineRule="auto"/>
      <w:outlineLvl w:val="8"/>
    </w:pPr>
    <w:rPr>
      <w:rFonts w:eastAsiaTheme="majorEastAsia" w:cstheme="majorBidi"/>
      <w:color w:val="272727" w:themeColor="text1" w:themeTint="D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5C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235C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35C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35C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35C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5CA"/>
    <w:rPr>
      <w:rFonts w:eastAsiaTheme="majorEastAsia" w:cstheme="majorBidi"/>
      <w:color w:val="272727" w:themeColor="text1" w:themeTint="D8"/>
    </w:rPr>
  </w:style>
  <w:style w:type="paragraph" w:styleId="Title">
    <w:name w:val="Title"/>
    <w:basedOn w:val="Normal"/>
    <w:next w:val="Normal"/>
    <w:link w:val="TitleChar"/>
    <w:uiPriority w:val="10"/>
    <w:qFormat/>
    <w:rsid w:val="00E235CA"/>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E2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5CA"/>
    <w:pPr>
      <w:numPr>
        <w:ilvl w:val="1"/>
      </w:numPr>
      <w:spacing w:after="160" w:line="259" w:lineRule="auto"/>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E2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5CA"/>
    <w:pPr>
      <w:spacing w:before="160" w:after="160" w:line="259" w:lineRule="auto"/>
      <w:jc w:val="center"/>
    </w:pPr>
    <w:rPr>
      <w:rFonts w:eastAsiaTheme="minorHAnsi"/>
      <w:i/>
      <w:iCs/>
      <w:color w:val="404040" w:themeColor="text1" w:themeTint="BF"/>
      <w:lang w:val="en-GB"/>
    </w:rPr>
  </w:style>
  <w:style w:type="character" w:customStyle="1" w:styleId="QuoteChar">
    <w:name w:val="Quote Char"/>
    <w:basedOn w:val="DefaultParagraphFont"/>
    <w:link w:val="Quote"/>
    <w:uiPriority w:val="29"/>
    <w:rsid w:val="00E235CA"/>
    <w:rPr>
      <w:i/>
      <w:iCs/>
      <w:color w:val="404040" w:themeColor="text1" w:themeTint="BF"/>
    </w:rPr>
  </w:style>
  <w:style w:type="paragraph" w:styleId="ListParagraph">
    <w:name w:val="List Paragraph"/>
    <w:basedOn w:val="Normal"/>
    <w:uiPriority w:val="34"/>
    <w:qFormat/>
    <w:rsid w:val="00E235CA"/>
    <w:pPr>
      <w:spacing w:after="160" w:line="259" w:lineRule="auto"/>
      <w:ind w:left="720"/>
      <w:contextualSpacing/>
    </w:pPr>
    <w:rPr>
      <w:rFonts w:eastAsiaTheme="minorHAnsi"/>
      <w:lang w:val="en-GB"/>
    </w:rPr>
  </w:style>
  <w:style w:type="character" w:styleId="IntenseEmphasis">
    <w:name w:val="Intense Emphasis"/>
    <w:basedOn w:val="DefaultParagraphFont"/>
    <w:uiPriority w:val="21"/>
    <w:qFormat/>
    <w:rsid w:val="00E235CA"/>
    <w:rPr>
      <w:i/>
      <w:iCs/>
      <w:color w:val="2E74B5" w:themeColor="accent1" w:themeShade="BF"/>
    </w:rPr>
  </w:style>
  <w:style w:type="paragraph" w:styleId="IntenseQuote">
    <w:name w:val="Intense Quote"/>
    <w:basedOn w:val="Normal"/>
    <w:next w:val="Normal"/>
    <w:link w:val="IntenseQuoteChar"/>
    <w:uiPriority w:val="30"/>
    <w:qFormat/>
    <w:rsid w:val="00E235CA"/>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HAnsi"/>
      <w:i/>
      <w:iCs/>
      <w:color w:val="2E74B5" w:themeColor="accent1" w:themeShade="BF"/>
      <w:lang w:val="en-GB"/>
    </w:rPr>
  </w:style>
  <w:style w:type="character" w:customStyle="1" w:styleId="IntenseQuoteChar">
    <w:name w:val="Intense Quote Char"/>
    <w:basedOn w:val="DefaultParagraphFont"/>
    <w:link w:val="IntenseQuote"/>
    <w:uiPriority w:val="30"/>
    <w:rsid w:val="00E235CA"/>
    <w:rPr>
      <w:i/>
      <w:iCs/>
      <w:color w:val="2E74B5" w:themeColor="accent1" w:themeShade="BF"/>
    </w:rPr>
  </w:style>
  <w:style w:type="character" w:styleId="IntenseReference">
    <w:name w:val="Intense Reference"/>
    <w:basedOn w:val="DefaultParagraphFont"/>
    <w:uiPriority w:val="32"/>
    <w:qFormat/>
    <w:rsid w:val="00E235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Osifo</dc:creator>
  <cp:keywords/>
  <dc:description/>
  <cp:lastModifiedBy>Peter Osifo</cp:lastModifiedBy>
  <cp:revision>1</cp:revision>
  <dcterms:created xsi:type="dcterms:W3CDTF">2025-10-19T20:47:00Z</dcterms:created>
  <dcterms:modified xsi:type="dcterms:W3CDTF">2025-10-19T20:52:00Z</dcterms:modified>
</cp:coreProperties>
</file>