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czhi5p2czky" w:id="0"/>
      <w:bookmarkEnd w:id="0"/>
      <w:r w:rsidDel="00000000" w:rsidR="00000000" w:rsidRPr="00000000">
        <w:rPr>
          <w:rtl w:val="0"/>
        </w:rPr>
        <w:t xml:space="preserve">Právní a bezpečnostní rámec zaměstnávání v éře kybernetické bezpečnosti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6l2wjkiitgn" w:id="1"/>
      <w:bookmarkEnd w:id="1"/>
      <w:r w:rsidDel="00000000" w:rsidR="00000000" w:rsidRPr="00000000">
        <w:rPr>
          <w:rtl w:val="0"/>
        </w:rPr>
        <w:t xml:space="preserve">1. Úvod do pracovního práva a jeho prameny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Pracovní právo definujeme jako komplexní soubor právních norem, které regulují vztahy mezi zaměstnanci a zaměstnavateli. V systému práva jej řadíme do sféry  </w:t>
      </w:r>
      <w:r w:rsidDel="00000000" w:rsidR="00000000" w:rsidRPr="00000000">
        <w:rPr>
          <w:b w:val="1"/>
          <w:bCs w:val="1"/>
          <w:rtl w:val="0"/>
        </w:rPr>
        <w:t xml:space="preserve">soukromého práva</w:t>
      </w:r>
      <w:r w:rsidDel="00000000" w:rsidR="00000000" w:rsidRPr="00000000">
        <w:rPr>
          <w:rtl w:val="0"/>
        </w:rPr>
        <w:t xml:space="preserve"> , které je založeno na principu rovnosti subjektů. Nicméně vzhledem k povaze práce obsahuje i výrazné prvky veřejnoprávní ochrany, které mají za cíl kompenzovat faktickou nerovnováhu mezi stranami.Prameny pracovního práva sledují přísnou hierarchii: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Ústavní základ, garantující právo na práci a spravedlivou odměnu.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 (OZ):</w:t>
      </w:r>
      <w:r w:rsidDel="00000000" w:rsidR="00000000" w:rsidRPr="00000000">
        <w:rPr>
          <w:rtl w:val="0"/>
        </w:rPr>
        <w:t xml:space="preserve">  Jako generální předpis pro soukromé právo tvoří obecný základ pro závazkové vztahy.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Specifické pracovněprávní předpisy:</w:t>
      </w:r>
      <w:r w:rsidDel="00000000" w:rsidR="00000000" w:rsidRPr="00000000">
        <w:rPr>
          <w:rtl w:val="0"/>
        </w:rPr>
        <w:t xml:space="preserve">  Zejména Zákoník práce, který detailně upravuje práva a povinnosti specifické pro zaměstnávání.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cl61vblkbwq4" w:id="2"/>
      <w:bookmarkEnd w:id="2"/>
      <w:r w:rsidDel="00000000" w:rsidR="00000000" w:rsidRPr="00000000">
        <w:rPr>
          <w:rtl w:val="0"/>
        </w:rPr>
        <w:t xml:space="preserve">2. Účastníci pracovněprávních vztahů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Subjekty pracovního práva jsou definovány skrze optiku občanského práva jako fyzické a právnické osoby.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Zaměstnanec (Fyzická osoba):</w:t>
      </w:r>
      <w:r w:rsidDel="00000000" w:rsidR="00000000" w:rsidRPr="00000000">
        <w:rPr>
          <w:rtl w:val="0"/>
        </w:rPr>
        <w:t xml:space="preserve">  Disponuje „právní osobností“ (způsobilost mít práva od narození do smrti) a „svéprávností“ (způsobilost k právnímu jednání). Plná svéprávnost vzniká v 18 letech, zákon však umožňuje emancipaci od 16 let. Pro ICT sektor je toto klíčové u talentovaných juniorních vývojářů či stážistů, kteří mohou v rámci emancipace vstupovat do plnohodnotných pracovních závazků dříve.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Zaměstnavatel (Právnická osoba):</w:t>
      </w:r>
      <w:r w:rsidDel="00000000" w:rsidR="00000000" w:rsidRPr="00000000">
        <w:rPr>
          <w:rtl w:val="0"/>
        </w:rPr>
        <w:t xml:space="preserve">  Organizovaný útvar s právní osobností. OZ rozlišuje: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Korporace:</w:t>
      </w:r>
      <w:r w:rsidDel="00000000" w:rsidR="00000000" w:rsidRPr="00000000">
        <w:rPr>
          <w:rtl w:val="0"/>
        </w:rPr>
        <w:t xml:space="preserve">  Založené na členské základně (např. obchodní společnosti, spolky).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Fundace:</w:t>
      </w:r>
      <w:r w:rsidDel="00000000" w:rsidR="00000000" w:rsidRPr="00000000">
        <w:rPr>
          <w:rtl w:val="0"/>
        </w:rPr>
        <w:t xml:space="preserve">  Založené na majetku (nadace a nadační fondy).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Ústavy:</w:t>
      </w:r>
      <w:r w:rsidDel="00000000" w:rsidR="00000000" w:rsidRPr="00000000">
        <w:rPr>
          <w:rtl w:val="0"/>
        </w:rPr>
        <w:t xml:space="preserve">  Propojující osobní a majetkovou složku pro poskytování služeb (vzdělávací či výzkumné instituce).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Stát:</w:t>
      </w:r>
      <w:r w:rsidDel="00000000" w:rsidR="00000000" w:rsidRPr="00000000">
        <w:rPr>
          <w:rtl w:val="0"/>
        </w:rPr>
        <w:t xml:space="preserve">  Ačkoliv je stát primárně subjektem práva veřejného, v pracovněprávních vztazích vystupuje jako  </w:t>
      </w:r>
      <w:r w:rsidDel="00000000" w:rsidR="00000000" w:rsidRPr="00000000">
        <w:rPr>
          <w:b w:val="1"/>
          <w:bCs w:val="1"/>
          <w:rtl w:val="0"/>
        </w:rPr>
        <w:t xml:space="preserve">právnická osoba soukromého práva</w:t>
      </w:r>
      <w:r w:rsidDel="00000000" w:rsidR="00000000" w:rsidRPr="00000000">
        <w:rPr>
          <w:rtl w:val="0"/>
        </w:rPr>
        <w:t xml:space="preserve"> . V tomto kontextu je stát v rovném postavení s jakýmkoliv jiným zaměstnavatelem.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cndsqpxrncmo" w:id="3"/>
      <w:bookmarkEnd w:id="3"/>
      <w:r w:rsidDel="00000000" w:rsidR="00000000" w:rsidRPr="00000000">
        <w:rPr>
          <w:rtl w:val="0"/>
        </w:rPr>
        <w:t xml:space="preserve">3. Pracovní poměr a formy zaměstnávání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Pracovní poměr chápeme jako  </w:t>
      </w:r>
      <w:r w:rsidDel="00000000" w:rsidR="00000000" w:rsidRPr="00000000">
        <w:rPr>
          <w:b w:val="1"/>
          <w:bCs w:val="1"/>
          <w:rtl w:val="0"/>
        </w:rPr>
        <w:t xml:space="preserve">relativní závazek</w:t>
      </w:r>
      <w:r w:rsidDel="00000000" w:rsidR="00000000" w:rsidRPr="00000000">
        <w:rPr>
          <w:rtl w:val="0"/>
        </w:rPr>
        <w:t xml:space="preserve"> , tedy právní vztah mezi věřitelem a dlužníkem, kde obě strany mají vzájemná práva a povinnosti.Obsah tohoto závazku tvoří čtyři základní typy povinností: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dát (dare):</w:t>
      </w:r>
      <w:r w:rsidDel="00000000" w:rsidR="00000000" w:rsidRPr="00000000">
        <w:rPr>
          <w:rtl w:val="0"/>
        </w:rPr>
        <w:t xml:space="preserve">  Typicky povinnost zaměstnavatele vyplatit mzdu.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konat (facere):</w:t>
      </w:r>
      <w:r w:rsidDel="00000000" w:rsidR="00000000" w:rsidRPr="00000000">
        <w:rPr>
          <w:rtl w:val="0"/>
        </w:rPr>
        <w:t xml:space="preserve">  Povinnost zaměstnance vykonávat sjednanou práci.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strpět (pati):</w:t>
      </w:r>
      <w:r w:rsidDel="00000000" w:rsidR="00000000" w:rsidRPr="00000000">
        <w:rPr>
          <w:rtl w:val="0"/>
        </w:rPr>
        <w:t xml:space="preserve">  Povinnost zaměstnance podřídit se pokynům a kontrole.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nekonat (non facere):</w:t>
      </w:r>
      <w:r w:rsidDel="00000000" w:rsidR="00000000" w:rsidRPr="00000000">
        <w:rPr>
          <w:rtl w:val="0"/>
        </w:rPr>
        <w:t xml:space="preserve">  Klíčová povinnost v ICT – např. zdržet se konkurenčního jednání či neoprávněného nakládání s daty (zákaz konkurence a ochrana tajemství).Vedle standardního pracovního poměru existují dohody (DPP, DPČ) a  </w:t>
      </w:r>
      <w:r w:rsidDel="00000000" w:rsidR="00000000" w:rsidRPr="00000000">
        <w:rPr>
          <w:b w:val="1"/>
          <w:bCs w:val="1"/>
          <w:rtl w:val="0"/>
        </w:rPr>
        <w:t xml:space="preserve">manažerské smlouvy</w:t>
      </w:r>
      <w:r w:rsidDel="00000000" w:rsidR="00000000" w:rsidRPr="00000000">
        <w:rPr>
          <w:rtl w:val="0"/>
        </w:rPr>
        <w:t xml:space="preserve"> . Ty představují hybridní smluvní typ kombinující pracovněprávní ochranu s obchodněprávními prvky odpovědnosti a flexibility.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p05um9phg3yn" w:id="4"/>
      <w:bookmarkEnd w:id="4"/>
      <w:r w:rsidDel="00000000" w:rsidR="00000000" w:rsidRPr="00000000">
        <w:rPr>
          <w:rtl w:val="0"/>
        </w:rPr>
        <w:t xml:space="preserve">4. Pracovní podmínky, odměňování a BOZP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Závazkový vztah v ICT vyžaduje specifický přístup k pracovnímu prostředí.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Odměňování:</w:t>
      </w:r>
      <w:r w:rsidDel="00000000" w:rsidR="00000000" w:rsidRPr="00000000">
        <w:rPr>
          <w:rtl w:val="0"/>
        </w:rPr>
        <w:t xml:space="preserve">  Mzda je protihodnotou za plnění závazku.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BOZP:</w:t>
      </w:r>
      <w:r w:rsidDel="00000000" w:rsidR="00000000" w:rsidRPr="00000000">
        <w:rPr>
          <w:rtl w:val="0"/>
        </w:rPr>
        <w:t xml:space="preserve">  Není pouze o fyzické bezpečnosti. V souladu s ochranou integrity člověka (tělesné i duševní) musí zaměstnavatel v IT předcházet rizikům, jako je ergonomická zátěž nebo  </w:t>
      </w:r>
      <w:r w:rsidDel="00000000" w:rsidR="00000000" w:rsidRPr="00000000">
        <w:rPr>
          <w:b w:val="1"/>
          <w:bCs w:val="1"/>
          <w:rtl w:val="0"/>
        </w:rPr>
        <w:t xml:space="preserve">psychické týrání</w:t>
      </w:r>
      <w:r w:rsidDel="00000000" w:rsidR="00000000" w:rsidRPr="00000000">
        <w:rPr>
          <w:rtl w:val="0"/>
        </w:rPr>
        <w:t xml:space="preserve">  (harassment) a stres, které jsou v technologickém sektoru identifikovány jako kritické faktory.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goqm4x10mpl" w:id="5"/>
      <w:bookmarkEnd w:id="5"/>
      <w:r w:rsidDel="00000000" w:rsidR="00000000" w:rsidRPr="00000000">
        <w:rPr>
          <w:rtl w:val="0"/>
        </w:rPr>
        <w:t xml:space="preserve">5. Ochrana informací a aktiv v pracovním právu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Pracovní právo dnes tvoří personální pilíř systému řízení bezpečnosti informací (ISMS) dle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. Je nutné zdůraznit, že  </w:t>
      </w:r>
      <w:r w:rsidDel="00000000" w:rsidR="00000000" w:rsidRPr="00000000">
        <w:rPr>
          <w:i w:val="1"/>
          <w:iCs w:val="1"/>
          <w:rtl w:val="0"/>
        </w:rPr>
        <w:t xml:space="preserve">řízení bezpečnosti informací není totéž co ISMS, ale tvoří pouze jeho část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PDCA Cyklus:</w:t>
      </w:r>
      <w:r w:rsidDel="00000000" w:rsidR="00000000" w:rsidRPr="00000000">
        <w:rPr>
          <w:rtl w:val="0"/>
        </w:rPr>
        <w:t xml:space="preserve">  Bezpečnost v pracovněprávních vztazích není jednorázový akt, ale dynamický proces (Plan-Do-Check-Act) neustálého zlepšování opatření.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Dohoda o mlčenlivosti (NDA):</w:t>
      </w:r>
      <w:r w:rsidDel="00000000" w:rsidR="00000000" w:rsidRPr="00000000">
        <w:rPr>
          <w:rtl w:val="0"/>
        </w:rPr>
        <w:t xml:space="preserve">  Právní nástroj k zajištění „důvěrnosti“ (confidentiality) aktiv.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GDPR a DPO:</w:t>
      </w:r>
      <w:r w:rsidDel="00000000" w:rsidR="00000000" w:rsidRPr="00000000">
        <w:rPr>
          <w:rtl w:val="0"/>
        </w:rPr>
        <w:t xml:space="preserve">  Ochrana soukromí zaměstnanců je zákonnou povinností. Pověřenec (DPO) monitoruje soulad personálních procesů s evropskou legislativou.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x8evi5s662tr" w:id="6"/>
      <w:bookmarkEnd w:id="6"/>
      <w:r w:rsidDel="00000000" w:rsidR="00000000" w:rsidRPr="00000000">
        <w:rPr>
          <w:rtl w:val="0"/>
        </w:rPr>
        <w:t xml:space="preserve">6. Práce s utajovanými informacemi a personální bezpečnost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Informační aktiva (HW, SW, Služby, Data) jsou chráněna na základě jejich hodnoty a rizika újmy.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Hodnocení aktiv (Asset Valuation):</w:t>
      </w:r>
      <w:r w:rsidDel="00000000" w:rsidR="00000000" w:rsidRPr="00000000">
        <w:rPr>
          <w:rtl w:val="0"/>
        </w:rPr>
        <w:t xml:space="preserve">  Čím vyšší je potenciální újma (harm) při ztrátě důvěrnosti, integrity či dostupnosti, tím přísnější jsou pracovněprávní nároky na zaměstnance (např. vyšší odpovědnost, přísnější prověrky).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Personální bezpečnost:</w:t>
      </w:r>
      <w:r w:rsidDel="00000000" w:rsidR="00000000" w:rsidRPr="00000000">
        <w:rPr>
          <w:rtl w:val="0"/>
        </w:rPr>
        <w:t xml:space="preserve">  Dle ISO 27002 zahrnuje 8 opatření v kategorii lidských zdrojů. Klíčovými procesy jsou  </w:t>
      </w:r>
      <w:r w:rsidDel="00000000" w:rsidR="00000000" w:rsidRPr="00000000">
        <w:rPr>
          <w:b w:val="1"/>
          <w:bCs w:val="1"/>
          <w:rtl w:val="0"/>
        </w:rPr>
        <w:t xml:space="preserve">screening (prověřování)</w:t>
      </w:r>
      <w:r w:rsidDel="00000000" w:rsidR="00000000" w:rsidRPr="00000000">
        <w:rPr>
          <w:rtl w:val="0"/>
        </w:rPr>
        <w:t xml:space="preserve">  před nástupem a jasně definované postupy při  </w:t>
      </w:r>
      <w:r w:rsidDel="00000000" w:rsidR="00000000" w:rsidRPr="00000000">
        <w:rPr>
          <w:b w:val="1"/>
          <w:bCs w:val="1"/>
          <w:rtl w:val="0"/>
        </w:rPr>
        <w:t xml:space="preserve">ukončení</w:t>
      </w:r>
      <w:r w:rsidDel="00000000" w:rsidR="00000000" w:rsidRPr="00000000">
        <w:rPr>
          <w:rtl w:val="0"/>
        </w:rPr>
        <w:t xml:space="preserve">  pracovního poměru, aby nedošlo k exfiltraci dat.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Segmentace sítě a mikrosegmentace:</w:t>
      </w:r>
      <w:r w:rsidDel="00000000" w:rsidR="00000000" w:rsidRPr="00000000">
        <w:rPr>
          <w:rtl w:val="0"/>
        </w:rPr>
        <w:t xml:space="preserve">  Z pohledu práva jde o technickou realizaci principu „Need to Know“. Segmentace (včetně pokročilé mikrosegmentace) omezuje přístup k aktivům pouze oprávněným subjektům, čímž chrání relativní práva zaměstnavatele a minimalizuje riziko interní hrozby.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ytdecrcizorf" w:id="7"/>
      <w:bookmarkEnd w:id="7"/>
      <w:r w:rsidDel="00000000" w:rsidR="00000000" w:rsidRPr="00000000">
        <w:rPr>
          <w:rtl w:val="0"/>
        </w:rPr>
        <w:t xml:space="preserve">7. Závěr a shrnutí (body pro mluvčího)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Zaměstnanec jako kritický prvek:</w:t>
      </w:r>
      <w:r w:rsidDel="00000000" w:rsidR="00000000" w:rsidRPr="00000000">
        <w:rPr>
          <w:rtl w:val="0"/>
        </w:rPr>
        <w:t xml:space="preserve">  V kybernetické bezpečnosti je lidský faktor nejslabším, ale i nejdůležitějším článkem. Kategorie „lidské zdroje“ vyžaduje stejnou pozornost jako technologie.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Integrace práva a techniky:</w:t>
      </w:r>
      <w:r w:rsidDel="00000000" w:rsidR="00000000" w:rsidRPr="00000000">
        <w:rPr>
          <w:rtl w:val="0"/>
        </w:rPr>
        <w:t xml:space="preserve">  Klasický Občanský zákoník dává rámec, ale ISMS mu dává obsah. Bezpečnostní pravidla v pracovní smlouvě nejsou „obtěžováním“, ale ochranou aktiv firmy.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Proaktivní ochrana:</w:t>
      </w:r>
      <w:r w:rsidDel="00000000" w:rsidR="00000000" w:rsidRPr="00000000">
        <w:rPr>
          <w:rtl w:val="0"/>
        </w:rPr>
        <w:t xml:space="preserve">  Využívejte principy segmentace a mikrosegmentace k omezení přístupu. Je to právně ospravedlnitelné opatření k ochraně dlužnicko-věřitelského vztahu.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Kontinuita:</w:t>
      </w:r>
      <w:r w:rsidDel="00000000" w:rsidR="00000000" w:rsidRPr="00000000">
        <w:rPr>
          <w:rtl w:val="0"/>
        </w:rPr>
        <w:t xml:space="preserve">  Bezpečnost je proces PDCA. Smlouvy a směrnice se musí vyvíjet spolu s hrozbami v ICT.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Rovnost a integrita:</w:t>
      </w:r>
      <w:r w:rsidDel="00000000" w:rsidR="00000000" w:rsidRPr="00000000">
        <w:rPr>
          <w:rtl w:val="0"/>
        </w:rPr>
        <w:t xml:space="preserve">  I při nejpřísnějších bezpečnostních prověrkách musíme respektovat integritu člověka a jeho soukromí; stát i soukromý sektor zde vystupují jako rovné subjekty práva.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