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la23hd4mkbc" w:id="0"/>
      <w:bookmarkEnd w:id="0"/>
      <w:r w:rsidDel="00000000" w:rsidR="00000000" w:rsidRPr="00000000">
        <w:rPr>
          <w:rtl w:val="0"/>
        </w:rPr>
        <w:t xml:space="preserve">Moderní legislativa v IT: Právní a bezpečnostní standardy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Úvod do IT legislativy a zařazení v systému práva</w:t>
      </w:r>
      <w:r w:rsidDel="00000000" w:rsidR="00000000" w:rsidRPr="00000000">
        <w:rPr>
          <w:rtl w:val="0"/>
        </w:rPr>
        <w:t xml:space="preserve">  V rámci právního systému řadíme IT legislativu primárně do  </w:t>
      </w:r>
      <w:r w:rsidDel="00000000" w:rsidR="00000000" w:rsidRPr="00000000">
        <w:rPr>
          <w:b w:val="1"/>
          <w:bCs w:val="1"/>
          <w:rtl w:val="0"/>
        </w:rPr>
        <w:t xml:space="preserve">soukromého práva</w:t>
      </w:r>
      <w:r w:rsidDel="00000000" w:rsidR="00000000" w:rsidRPr="00000000">
        <w:rPr>
          <w:rtl w:val="0"/>
        </w:rPr>
        <w:t xml:space="preserve"> , které upravuje vztahy mezi subjekty v rovném postavení. Jde o soubor norem řešících majetkové a osobní vztahy v digitálním prostředí. Z pohledu právní teorie je nezbytné rozlišovat mezi  </w:t>
      </w:r>
      <w:r w:rsidDel="00000000" w:rsidR="00000000" w:rsidRPr="00000000">
        <w:rPr>
          <w:b w:val="1"/>
          <w:bCs w:val="1"/>
          <w:rtl w:val="0"/>
        </w:rPr>
        <w:t xml:space="preserve">hmotným právem</w:t>
      </w:r>
      <w:r w:rsidDel="00000000" w:rsidR="00000000" w:rsidRPr="00000000">
        <w:rPr>
          <w:rtl w:val="0"/>
        </w:rPr>
        <w:t xml:space="preserve"> , které stanovuje konkrétní pravidla chování a povinnosti subjektů, a  </w:t>
      </w:r>
      <w:r w:rsidDel="00000000" w:rsidR="00000000" w:rsidRPr="00000000">
        <w:rPr>
          <w:b w:val="1"/>
          <w:bCs w:val="1"/>
          <w:rtl w:val="0"/>
        </w:rPr>
        <w:t xml:space="preserve">procesním právem</w:t>
      </w:r>
      <w:r w:rsidDel="00000000" w:rsidR="00000000" w:rsidRPr="00000000">
        <w:rPr>
          <w:rtl w:val="0"/>
        </w:rPr>
        <w:t xml:space="preserve"> , které určuje postupy při vymáhání těchto práv a ochraně právních vztahů.Hlavní prameny práva: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Občanský zákoník:</w:t>
      </w:r>
      <w:r w:rsidDel="00000000" w:rsidR="00000000" w:rsidRPr="00000000">
        <w:rPr>
          <w:rtl w:val="0"/>
        </w:rPr>
        <w:t xml:space="preserve">  Základní kodex upravující smluvní vztahy, vlastnictví a právní postavení osob.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svobod:</w:t>
      </w:r>
      <w:r w:rsidDel="00000000" w:rsidR="00000000" w:rsidRPr="00000000">
        <w:rPr>
          <w:rtl w:val="0"/>
        </w:rPr>
        <w:t xml:space="preserve">  Ústavní rámec zaručující ochranu soukromí a osobních údajů.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Autorský zákon:</w:t>
      </w:r>
      <w:r w:rsidDel="00000000" w:rsidR="00000000" w:rsidRPr="00000000">
        <w:rPr>
          <w:rtl w:val="0"/>
        </w:rPr>
        <w:t xml:space="preserve">  Klíčová norma pro ochranu duševního vlastnictví, včetně softwaru.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Mezinárodní smlouvy a judikatura:</w:t>
      </w:r>
      <w:r w:rsidDel="00000000" w:rsidR="00000000" w:rsidRPr="00000000">
        <w:rPr>
          <w:rtl w:val="0"/>
        </w:rPr>
        <w:t xml:space="preserve">  Rozhodnutí Nejvyššího a Ústavního soudu, která sjednocují výklad práva v dynamickém IT prostředí.</w:t>
      </w:r>
      <w:r w:rsidDel="00000000" w:rsidR="00000000" w:rsidRPr="00000000">
        <w:rPr>
          <w:b w:val="1"/>
          <w:bCs w:val="1"/>
          <w:rtl w:val="0"/>
        </w:rPr>
        <w:t xml:space="preserve">2. Právní subjekty a ochrana osobnosti v digitálním věku</w:t>
      </w:r>
      <w:r w:rsidDel="00000000" w:rsidR="00000000" w:rsidRPr="00000000">
        <w:rPr>
          <w:rtl w:val="0"/>
        </w:rPr>
        <w:t xml:space="preserve">  Právní řád rozlišuje mezi fyzickými a právnickými osobami, přičemž stát v občanskoprávních vztazích vystupuje rovněž jako právnická osoba.| Subjekt | Právní charakteristika | Veřejný vs. Soukromý zájem | Specifika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Fyzická osoba (FO)</w:t>
      </w:r>
      <w:r w:rsidDel="00000000" w:rsidR="00000000" w:rsidRPr="00000000">
        <w:rPr>
          <w:rtl w:val="0"/>
        </w:rPr>
        <w:t xml:space="preserve"> | Má  </w:t>
      </w:r>
      <w:r w:rsidDel="00000000" w:rsidR="00000000" w:rsidRPr="00000000">
        <w:rPr>
          <w:b w:val="1"/>
          <w:bCs w:val="1"/>
          <w:rtl w:val="0"/>
        </w:rPr>
        <w:t xml:space="preserve">právní osobnost</w:t>
      </w:r>
      <w:r w:rsidDel="00000000" w:rsidR="00000000" w:rsidRPr="00000000">
        <w:rPr>
          <w:rtl w:val="0"/>
        </w:rPr>
        <w:t xml:space="preserve">  (od narození do smrti). Plná  </w:t>
      </w:r>
      <w:r w:rsidDel="00000000" w:rsidR="00000000" w:rsidRPr="00000000">
        <w:rPr>
          <w:b w:val="1"/>
          <w:bCs w:val="1"/>
          <w:rtl w:val="0"/>
        </w:rPr>
        <w:t xml:space="preserve">svéprávnost</w:t>
      </w:r>
      <w:r w:rsidDel="00000000" w:rsidR="00000000" w:rsidRPr="00000000">
        <w:rPr>
          <w:rtl w:val="0"/>
        </w:rPr>
        <w:t xml:space="preserve">  vzniká v 18 letech. | Primárně soukromý zájem (ochrana integrity). | Možnost získání svéprávnosti dříve přes  </w:t>
      </w:r>
      <w:r w:rsidDel="00000000" w:rsidR="00000000" w:rsidRPr="00000000">
        <w:rPr>
          <w:b w:val="1"/>
          <w:bCs w:val="1"/>
          <w:rtl w:val="0"/>
        </w:rPr>
        <w:t xml:space="preserve">emancipaci</w:t>
      </w:r>
      <w:r w:rsidDel="00000000" w:rsidR="00000000" w:rsidRPr="00000000">
        <w:rPr>
          <w:rtl w:val="0"/>
        </w:rPr>
        <w:t xml:space="preserve">  (od 16 let) či sňatek. || </w:t>
      </w:r>
      <w:r w:rsidDel="00000000" w:rsidR="00000000" w:rsidRPr="00000000">
        <w:rPr>
          <w:b w:val="1"/>
          <w:bCs w:val="1"/>
          <w:rtl w:val="0"/>
        </w:rPr>
        <w:t xml:space="preserve">Právnická osoba (PO)</w:t>
      </w:r>
      <w:r w:rsidDel="00000000" w:rsidR="00000000" w:rsidRPr="00000000">
        <w:rPr>
          <w:rtl w:val="0"/>
        </w:rPr>
        <w:t xml:space="preserve"> | Organizovaný útvar s právní osobností. Dělí se na korporace, fundace a ústavy. | Slouží zájmům soukromým (korporace) i veřejným (nadace, ústavy). | </w:t>
      </w:r>
      <w:r w:rsidDel="00000000" w:rsidR="00000000" w:rsidRPr="00000000">
        <w:rPr>
          <w:b w:val="1"/>
          <w:bCs w:val="1"/>
          <w:rtl w:val="0"/>
        </w:rPr>
        <w:t xml:space="preserve">Ústavy</w:t>
      </w:r>
      <w:r w:rsidDel="00000000" w:rsidR="00000000" w:rsidRPr="00000000">
        <w:rPr>
          <w:rtl w:val="0"/>
        </w:rPr>
        <w:t xml:space="preserve">  nemají členy, ale  </w:t>
      </w:r>
      <w:r w:rsidDel="00000000" w:rsidR="00000000" w:rsidRPr="00000000">
        <w:rPr>
          <w:b w:val="1"/>
          <w:bCs w:val="1"/>
          <w:rtl w:val="0"/>
        </w:rPr>
        <w:t xml:space="preserve">zaměstnance</w:t>
      </w:r>
      <w:r w:rsidDel="00000000" w:rsidR="00000000" w:rsidRPr="00000000">
        <w:rPr>
          <w:rtl w:val="0"/>
        </w:rPr>
        <w:t xml:space="preserve"> ; poskytují veřejně prospěšné služby.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Ochrana osobnosti</w:t>
      </w:r>
      <w:r w:rsidDel="00000000" w:rsidR="00000000" w:rsidRPr="00000000">
        <w:rPr>
          <w:rtl w:val="0"/>
        </w:rPr>
        <w:t xml:space="preserve">  tvoří základní kámen integrity člověka. Zahrnuje právo na ochranu podoby, cti, důstojnosti a soukromí. V IT prostředí toto právo přímo koreluje s povinnostmi  </w:t>
      </w:r>
      <w:r w:rsidDel="00000000" w:rsidR="00000000" w:rsidRPr="00000000">
        <w:rPr>
          <w:b w:val="1"/>
          <w:bCs w:val="1"/>
          <w:rtl w:val="0"/>
        </w:rPr>
        <w:t xml:space="preserve">správců dat</w:t>
      </w:r>
      <w:r w:rsidDel="00000000" w:rsidR="00000000" w:rsidRPr="00000000">
        <w:rPr>
          <w:rtl w:val="0"/>
        </w:rPr>
        <w:t xml:space="preserve"> . Ti jsou povinni zajistit, aby zpracování dat probíhalo v souladu s ochranou integrity a lidské důstojnosti (zpracování bez souhlasu je možné pouze na základě zákonných výjimek, např. pro policii či zpravodajství).Při neoprávněném zásahu do osobnosti vznikají tyto nároky: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Zdržet se</w:t>
      </w:r>
      <w:r w:rsidDel="00000000" w:rsidR="00000000" w:rsidRPr="00000000">
        <w:rPr>
          <w:rtl w:val="0"/>
        </w:rPr>
        <w:t xml:space="preserve">  protiprávního jednání.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Odstranit následky</w:t>
      </w:r>
      <w:r w:rsidDel="00000000" w:rsidR="00000000" w:rsidRPr="00000000">
        <w:rPr>
          <w:rtl w:val="0"/>
        </w:rPr>
        <w:t xml:space="preserve">  (např. stažení dehonestujícího obsahu).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Náhrada majetkové újmy</w:t>
      </w:r>
      <w:r w:rsidDel="00000000" w:rsidR="00000000" w:rsidRPr="00000000">
        <w:rPr>
          <w:rtl w:val="0"/>
        </w:rPr>
        <w:t xml:space="preserve">  (případně i nemajetkové újmy v penězích).</w:t>
      </w:r>
      <w:r w:rsidDel="00000000" w:rsidR="00000000" w:rsidRPr="00000000">
        <w:rPr>
          <w:b w:val="1"/>
          <w:bCs w:val="1"/>
          <w:rtl w:val="0"/>
        </w:rPr>
        <w:t xml:space="preserve">3. Autorské právo k digitálním dílům a softwaru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Autorské dílo</w:t>
      </w:r>
      <w:r w:rsidDel="00000000" w:rsidR="00000000" w:rsidRPr="00000000">
        <w:rPr>
          <w:rtl w:val="0"/>
        </w:rPr>
        <w:t xml:space="preserve">  je definováno jako jedinečný výsledek tvůrčí činnosti autora vyjádřený v konkrétní podobě. Důležitým principem je, že  </w:t>
      </w:r>
      <w:r w:rsidDel="00000000" w:rsidR="00000000" w:rsidRPr="00000000">
        <w:rPr>
          <w:b w:val="1"/>
          <w:bCs w:val="1"/>
          <w:rtl w:val="0"/>
        </w:rPr>
        <w:t xml:space="preserve">autorské právo nechrání samotnou myšlenku, ale pouze její konkrétní vyjádření</w:t>
      </w:r>
      <w:r w:rsidDel="00000000" w:rsidR="00000000" w:rsidRPr="00000000">
        <w:rPr>
          <w:rtl w:val="0"/>
        </w:rPr>
        <w:t xml:space="preserve"> . Autorem může být výhradně  </w:t>
      </w:r>
      <w:r w:rsidDel="00000000" w:rsidR="00000000" w:rsidRPr="00000000">
        <w:rPr>
          <w:b w:val="1"/>
          <w:bCs w:val="1"/>
          <w:rtl w:val="0"/>
        </w:rPr>
        <w:t xml:space="preserve">fyzická osoba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Osobnostní práva:</w:t>
      </w:r>
      <w:r w:rsidDel="00000000" w:rsidR="00000000" w:rsidRPr="00000000">
        <w:rPr>
          <w:rtl w:val="0"/>
        </w:rPr>
        <w:t xml:space="preserve">  Jsou spjata s autorem, jsou nepřevoditelná a nelze se jich vzdát. Zahrnují právo na autorství a nedotknutelnost díla.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Majetková práva:</w:t>
      </w:r>
      <w:r w:rsidDel="00000000" w:rsidR="00000000" w:rsidRPr="00000000">
        <w:rPr>
          <w:rtl w:val="0"/>
        </w:rPr>
        <w:t xml:space="preserve">  Autor má právo dílo užívat a rozhodovat o něm. Zde platí striktní pravidlo:  </w:t>
      </w:r>
      <w:r w:rsidDel="00000000" w:rsidR="00000000" w:rsidRPr="00000000">
        <w:rPr>
          <w:b w:val="1"/>
          <w:bCs w:val="1"/>
          <w:rtl w:val="0"/>
        </w:rPr>
        <w:t xml:space="preserve">"Majetková práva trvají po dobu života autora a 70 let po jeho smrti."</w:t>
      </w:r>
      <w:r w:rsidDel="00000000" w:rsidR="00000000" w:rsidRPr="00000000">
        <w:rPr>
          <w:rtl w:val="0"/>
        </w:rPr>
        <w:t xml:space="preserve">Užití díla jinými subjekty se řeší  </w:t>
      </w:r>
      <w:r w:rsidDel="00000000" w:rsidR="00000000" w:rsidRPr="00000000">
        <w:rPr>
          <w:b w:val="1"/>
          <w:bCs w:val="1"/>
          <w:rtl w:val="0"/>
        </w:rPr>
        <w:t xml:space="preserve">licenční smlouvou</w:t>
      </w:r>
      <w:r w:rsidDel="00000000" w:rsidR="00000000" w:rsidRPr="00000000">
        <w:rPr>
          <w:rtl w:val="0"/>
        </w:rPr>
        <w:t xml:space="preserve"> , která může být  </w:t>
      </w:r>
      <w:r w:rsidDel="00000000" w:rsidR="00000000" w:rsidRPr="00000000">
        <w:rPr>
          <w:b w:val="1"/>
          <w:bCs w:val="1"/>
          <w:rtl w:val="0"/>
        </w:rPr>
        <w:t xml:space="preserve">výhradní</w:t>
      </w:r>
      <w:r w:rsidDel="00000000" w:rsidR="00000000" w:rsidRPr="00000000">
        <w:rPr>
          <w:rtl w:val="0"/>
        </w:rPr>
        <w:t xml:space="preserve">  (nabyvatel má exkluzivitu) nebo  </w:t>
      </w:r>
      <w:r w:rsidDel="00000000" w:rsidR="00000000" w:rsidRPr="00000000">
        <w:rPr>
          <w:b w:val="1"/>
          <w:bCs w:val="1"/>
          <w:rtl w:val="0"/>
        </w:rPr>
        <w:t xml:space="preserve">nevýhradní</w:t>
      </w:r>
      <w:r w:rsidDel="00000000" w:rsidR="00000000" w:rsidRPr="00000000">
        <w:rPr>
          <w:rtl w:val="0"/>
        </w:rPr>
        <w:t xml:space="preserve">  (autor může poskytnout licenci dalším osobám).</w:t>
      </w:r>
      <w:r w:rsidDel="00000000" w:rsidR="00000000" w:rsidRPr="00000000">
        <w:rPr>
          <w:b w:val="1"/>
          <w:bCs w:val="1"/>
          <w:rtl w:val="0"/>
        </w:rPr>
        <w:t xml:space="preserve">4. ISMS a ISO/IEC 27001: Normativní základ IT bezpečnosti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(Information Security Management System) představuje systematický přístup k řízení bezpečnosti, jehož hlavní motivací je  </w:t>
      </w:r>
      <w:r w:rsidDel="00000000" w:rsidR="00000000" w:rsidRPr="00000000">
        <w:rPr>
          <w:b w:val="1"/>
          <w:bCs w:val="1"/>
          <w:rtl w:val="0"/>
        </w:rPr>
        <w:t xml:space="preserve">ochrana aktiv</w:t>
      </w:r>
      <w:r w:rsidDel="00000000" w:rsidR="00000000" w:rsidRPr="00000000">
        <w:rPr>
          <w:rtl w:val="0"/>
        </w:rPr>
        <w:t xml:space="preserve"> . Jako seniorní specialista zdůrazňuji:  </w:t>
      </w:r>
      <w:r w:rsidDel="00000000" w:rsidR="00000000" w:rsidRPr="00000000">
        <w:rPr>
          <w:b w:val="1"/>
          <w:bCs w:val="1"/>
          <w:rtl w:val="0"/>
        </w:rPr>
        <w:t xml:space="preserve">"Řízení bezpečnosti informací není ISMS, ale pouze jeho část!"</w:t>
      </w:r>
      <w:r w:rsidDel="00000000" w:rsidR="00000000" w:rsidRPr="00000000">
        <w:rPr>
          <w:rtl w:val="0"/>
        </w:rPr>
        <w:t xml:space="preserve">Systém je definován normou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Informační bezpečnost, kybernetická bezpečnost a ochrana soukromí – Systémy managementu informační bezpečnosti – Požadavky</w:t>
      </w:r>
      <w:r w:rsidDel="00000000" w:rsidR="00000000" w:rsidRPr="00000000">
        <w:rPr>
          <w:rtl w:val="0"/>
        </w:rPr>
        <w:t xml:space="preserve"> ). Cíle bezpečnosti definuje  </w:t>
      </w:r>
      <w:r w:rsidDel="00000000" w:rsidR="00000000" w:rsidRPr="00000000">
        <w:rPr>
          <w:b w:val="1"/>
          <w:bCs w:val="1"/>
          <w:rtl w:val="0"/>
        </w:rPr>
        <w:t xml:space="preserve">triáda CIA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(Confidentiality):</w:t>
      </w:r>
      <w:r w:rsidDel="00000000" w:rsidR="00000000" w:rsidRPr="00000000">
        <w:rPr>
          <w:rtl w:val="0"/>
        </w:rPr>
        <w:t xml:space="preserve">  Přístup pouze pro oprávněné subjekty.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(Integrity):</w:t>
      </w:r>
      <w:r w:rsidDel="00000000" w:rsidR="00000000" w:rsidRPr="00000000">
        <w:rPr>
          <w:rtl w:val="0"/>
        </w:rPr>
        <w:t xml:space="preserve">  Správnost a úplnost informací.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(Availability):</w:t>
      </w:r>
      <w:r w:rsidDel="00000000" w:rsidR="00000000" w:rsidRPr="00000000">
        <w:rPr>
          <w:rtl w:val="0"/>
        </w:rPr>
        <w:t xml:space="preserve">  Přístup k informacím v čase potřeby.Informační aktiva zahrnují  </w:t>
      </w:r>
      <w:r w:rsidDel="00000000" w:rsidR="00000000" w:rsidRPr="00000000">
        <w:rPr>
          <w:b w:val="1"/>
          <w:bCs w:val="1"/>
          <w:rtl w:val="0"/>
        </w:rPr>
        <w:t xml:space="preserve">HW, SW, služby a data</w:t>
      </w:r>
      <w:r w:rsidDel="00000000" w:rsidR="00000000" w:rsidRPr="00000000">
        <w:rPr>
          <w:rtl w:val="0"/>
        </w:rPr>
        <w:t xml:space="preserve"> . ISMS využívá cyklus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 (Demingův model):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(Ustavení):</w:t>
      </w:r>
      <w:r w:rsidDel="00000000" w:rsidR="00000000" w:rsidRPr="00000000">
        <w:rPr>
          <w:rtl w:val="0"/>
        </w:rPr>
        <w:t xml:space="preserve">  Určení rozsahu, politik a odpovědností.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(Zavádění):</w:t>
      </w:r>
      <w:r w:rsidDel="00000000" w:rsidR="00000000" w:rsidRPr="00000000">
        <w:rPr>
          <w:rtl w:val="0"/>
        </w:rPr>
        <w:t xml:space="preserve">  Implementace bezpečnostních opatření v provozu.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(Monitorování):</w:t>
      </w:r>
      <w:r w:rsidDel="00000000" w:rsidR="00000000" w:rsidRPr="00000000">
        <w:rPr>
          <w:rtl w:val="0"/>
        </w:rPr>
        <w:t xml:space="preserve">  Hodnocení účinnosti a zpětná vazba.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 a zlepšování):</w:t>
      </w:r>
      <w:r w:rsidDel="00000000" w:rsidR="00000000" w:rsidRPr="00000000">
        <w:rPr>
          <w:rtl w:val="0"/>
        </w:rPr>
        <w:t xml:space="preserve">  Odstraňování slabin a soustavné zvyšování ochrany.</w:t>
      </w:r>
      <w:r w:rsidDel="00000000" w:rsidR="00000000" w:rsidRPr="00000000">
        <w:rPr>
          <w:b w:val="1"/>
          <w:bCs w:val="1"/>
          <w:rtl w:val="0"/>
        </w:rPr>
        <w:t xml:space="preserve">5. Bezpečnostní opatření, segmentace a pentesting</w:t>
      </w:r>
      <w:r w:rsidDel="00000000" w:rsidR="00000000" w:rsidRPr="00000000">
        <w:rPr>
          <w:rtl w:val="0"/>
        </w:rPr>
        <w:t xml:space="preserve">  Opatření dle normy ISO/IEC 27002:2023 dělíme na  </w:t>
      </w:r>
      <w:r w:rsidDel="00000000" w:rsidR="00000000" w:rsidRPr="00000000">
        <w:rPr>
          <w:b w:val="1"/>
          <w:bCs w:val="1"/>
          <w:rtl w:val="0"/>
        </w:rPr>
        <w:t xml:space="preserve">organizační, lidské zdroje, fyzická a technologická</w:t>
      </w:r>
      <w:r w:rsidDel="00000000" w:rsidR="00000000" w:rsidRPr="00000000">
        <w:rPr>
          <w:rtl w:val="0"/>
        </w:rPr>
        <w:t xml:space="preserve"> .Klíčovým technologickým opatřením je  </w:t>
      </w:r>
      <w:r w:rsidDel="00000000" w:rsidR="00000000" w:rsidRPr="00000000">
        <w:rPr>
          <w:b w:val="1"/>
          <w:bCs w:val="1"/>
          <w:rtl w:val="0"/>
        </w:rPr>
        <w:t xml:space="preserve">segmentace sítě</w:t>
      </w:r>
      <w:r w:rsidDel="00000000" w:rsidR="00000000" w:rsidRPr="00000000">
        <w:rPr>
          <w:rtl w:val="0"/>
        </w:rPr>
        <w:t xml:space="preserve"> . Ta spočívá v seskupování aktiv do bezpečnostních zón. Specifickým prvkem je  </w:t>
      </w:r>
      <w:r w:rsidDel="00000000" w:rsidR="00000000" w:rsidRPr="00000000">
        <w:rPr>
          <w:b w:val="1"/>
          <w:bCs w:val="1"/>
          <w:rtl w:val="0"/>
        </w:rPr>
        <w:t xml:space="preserve">DMZ (demilitarizovaná zóna)</w:t>
      </w:r>
      <w:r w:rsidDel="00000000" w:rsidR="00000000" w:rsidRPr="00000000">
        <w:rPr>
          <w:rtl w:val="0"/>
        </w:rPr>
        <w:t xml:space="preserve"> , což je perimetrální zóna oddělená firewally, do které se umisťují servery přístupné z internetu (např. Webový či E-mailový server), aby se zamezilo přímému přístupu do vnitřní sítě (LAN).</w:t>
      </w:r>
      <w:r w:rsidDel="00000000" w:rsidR="00000000" w:rsidRPr="00000000">
        <w:rPr>
          <w:b w:val="1"/>
          <w:bCs w:val="1"/>
          <w:rtl w:val="0"/>
        </w:rPr>
        <w:t xml:space="preserve">Penetrační testování (Pentesting)</w:t>
      </w:r>
      <w:r w:rsidDel="00000000" w:rsidR="00000000" w:rsidRPr="00000000">
        <w:rPr>
          <w:rtl w:val="0"/>
        </w:rPr>
        <w:t xml:space="preserve">  je proaktivní simulace útoku. Rozlišujeme: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Nulová znalost o systému, přístup vnějšího útočníka.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Úplná znalost architektury a zdrojových kódů.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Částečná znalost vnitřních procesů.V rámci proaktivní ochrany využíváme i  </w:t>
      </w:r>
      <w:r w:rsidDel="00000000" w:rsidR="00000000" w:rsidRPr="00000000">
        <w:rPr>
          <w:b w:val="1"/>
          <w:bCs w:val="1"/>
          <w:rtl w:val="0"/>
        </w:rPr>
        <w:t xml:space="preserve">skenování zranitelností</w:t>
      </w:r>
      <w:r w:rsidDel="00000000" w:rsidR="00000000" w:rsidRPr="00000000">
        <w:rPr>
          <w:rtl w:val="0"/>
        </w:rPr>
        <w:t xml:space="preserve">  (vulnerability scan). Jde o automatizovaný proces, u kterého je však nutné počítat s rizikem  </w:t>
      </w:r>
      <w:r w:rsidDel="00000000" w:rsidR="00000000" w:rsidRPr="00000000">
        <w:rPr>
          <w:b w:val="1"/>
          <w:bCs w:val="1"/>
          <w:rtl w:val="0"/>
        </w:rPr>
        <w:t xml:space="preserve">falešně pozitivních nálezů (false positive)</w:t>
      </w:r>
      <w:r w:rsidDel="00000000" w:rsidR="00000000" w:rsidRPr="00000000">
        <w:rPr>
          <w:rtl w:val="0"/>
        </w:rPr>
        <w:t xml:space="preserve"> .Fáze penetračního testu: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Plánování:</w:t>
      </w:r>
      <w:r w:rsidDel="00000000" w:rsidR="00000000" w:rsidRPr="00000000">
        <w:rPr>
          <w:rtl w:val="0"/>
        </w:rPr>
        <w:t xml:space="preserve">  Definice cíle a rozsahu.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Vyhledávání:</w:t>
      </w:r>
      <w:r w:rsidDel="00000000" w:rsidR="00000000" w:rsidRPr="00000000">
        <w:rPr>
          <w:rtl w:val="0"/>
        </w:rPr>
        <w:t xml:space="preserve">  Sběr dat o cíli.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Útok:</w:t>
      </w:r>
      <w:r w:rsidDel="00000000" w:rsidR="00000000" w:rsidRPr="00000000">
        <w:rPr>
          <w:rtl w:val="0"/>
        </w:rPr>
        <w:t xml:space="preserve">  Skenování a samotná exploitace (zneužití) slabin.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Reportování:</w:t>
      </w:r>
      <w:r w:rsidDel="00000000" w:rsidR="00000000" w:rsidRPr="00000000">
        <w:rPr>
          <w:rtl w:val="0"/>
        </w:rPr>
        <w:t xml:space="preserve">  Závěrečná zpráva musí obsahovat:  </w:t>
      </w:r>
      <w:r w:rsidDel="00000000" w:rsidR="00000000" w:rsidRPr="00000000">
        <w:rPr>
          <w:b w:val="1"/>
          <w:bCs w:val="1"/>
          <w:rtl w:val="0"/>
        </w:rPr>
        <w:t xml:space="preserve">manažerské shrnutí, označení systému, závažnost zjištění a návrh nápravných opatření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6. Práva uživatelů IT a interakce se státem přes Portál občana</w:t>
      </w:r>
      <w:r w:rsidDel="00000000" w:rsidR="00000000" w:rsidRPr="00000000">
        <w:rPr>
          <w:rtl w:val="0"/>
        </w:rPr>
        <w:t xml:space="preserve">  Digitální legislativa umožňuje občanům komunikovat se státem jako s rovným subjektem.  </w:t>
      </w:r>
      <w:r w:rsidDel="00000000" w:rsidR="00000000" w:rsidRPr="00000000">
        <w:rPr>
          <w:b w:val="1"/>
          <w:bCs w:val="1"/>
          <w:rtl w:val="0"/>
        </w:rPr>
        <w:t xml:space="preserve">Portál občana</w:t>
      </w:r>
      <w:r w:rsidDel="00000000" w:rsidR="00000000" w:rsidRPr="00000000">
        <w:rPr>
          <w:rtl w:val="0"/>
        </w:rPr>
        <w:t xml:space="preserve">  je centrálním rozhraním pro tuto interakci.Způsoby ověření identity: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Bankovní identita</w:t>
      </w:r>
      <w:r w:rsidDel="00000000" w:rsidR="00000000" w:rsidRPr="00000000">
        <w:rPr>
          <w:rtl w:val="0"/>
        </w:rPr>
        <w:t xml:space="preserve">  (nejrozšířenější metoda přes bankovní údaje).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eObčanka</w:t>
      </w:r>
      <w:r w:rsidDel="00000000" w:rsidR="00000000" w:rsidRPr="00000000">
        <w:rPr>
          <w:rtl w:val="0"/>
        </w:rPr>
        <w:t xml:space="preserve">  (průkaz s čipem a čtečkou).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MojeID a NIA ID</w:t>
      </w:r>
      <w:r w:rsidDel="00000000" w:rsidR="00000000" w:rsidRPr="00000000">
        <w:rPr>
          <w:rtl w:val="0"/>
        </w:rPr>
        <w:t xml:space="preserve"> .Dostupné služby a výhody: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Získání výpisů (trestní rejstřík, živnostenský rejstřík).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Správa a přístup k  </w:t>
      </w:r>
      <w:r w:rsidDel="00000000" w:rsidR="00000000" w:rsidRPr="00000000">
        <w:rPr>
          <w:b w:val="1"/>
          <w:bCs w:val="1"/>
          <w:rtl w:val="0"/>
        </w:rPr>
        <w:t xml:space="preserve">datové schránce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Kontrola údajů v registru řidičů a platnosti dokladů (STK, pasy).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Podání daňového přiznání online.</w:t>
      </w:r>
      <w:r w:rsidDel="00000000" w:rsidR="00000000" w:rsidRPr="00000000">
        <w:rPr>
          <w:b w:val="1"/>
          <w:bCs w:val="1"/>
          <w:rtl w:val="0"/>
        </w:rPr>
        <w:t xml:space="preserve">7. Poznámka k moderní regulaci (NIS2, AI Act, ePrivacy)</w:t>
      </w:r>
      <w:r w:rsidDel="00000000" w:rsidR="00000000" w:rsidRPr="00000000">
        <w:rPr>
          <w:rtl w:val="0"/>
        </w:rPr>
        <w:t xml:space="preserve">  Současná dynamika IT legislativy (včetně norem jako NIS2 či AI Act) přímo navazuje na principy  </w:t>
      </w:r>
      <w:r w:rsidDel="00000000" w:rsidR="00000000" w:rsidRPr="00000000">
        <w:rPr>
          <w:b w:val="1"/>
          <w:bCs w:val="1"/>
          <w:rtl w:val="0"/>
        </w:rPr>
        <w:t xml:space="preserve">správy aktiv a řízení rizik</w:t>
      </w:r>
      <w:r w:rsidDel="00000000" w:rsidR="00000000" w:rsidRPr="00000000">
        <w:rPr>
          <w:rtl w:val="0"/>
        </w:rPr>
        <w:t xml:space="preserve">  definované v ISMS. Tyto regulace jsou v podstatě rozšířením rizikově orientovaného přístupu, který vyžaduje neustálé monitorování hrozeb a zranitelností. Na dodržování těchto standardů dohlížejí  </w:t>
      </w:r>
      <w:r w:rsidDel="00000000" w:rsidR="00000000" w:rsidRPr="00000000">
        <w:rPr>
          <w:b w:val="1"/>
          <w:bCs w:val="1"/>
          <w:rtl w:val="0"/>
        </w:rPr>
        <w:t xml:space="preserve">dozorové orgány</w:t>
      </w:r>
      <w:r w:rsidDel="00000000" w:rsidR="00000000" w:rsidRPr="00000000">
        <w:rPr>
          <w:rtl w:val="0"/>
        </w:rPr>
        <w:t xml:space="preserve"> , které mají pravomoc kontrolovat úroveň zabezpečení a vynucovat nápravu v souladu s celospolečenským zájmem na kybernetické stabilitě.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