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m71bjo5txd5" w:id="0"/>
      <w:bookmarkEnd w:id="0"/>
      <w:r w:rsidDel="00000000" w:rsidR="00000000" w:rsidRPr="00000000">
        <w:rPr>
          <w:rtl w:val="0"/>
        </w:rPr>
        <w:t xml:space="preserve">Institucionální a právní rámec Evropské unie (Maturitní okruh č. 11)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Charakteristika Evropské unie a její postavení v systému práva</w:t>
      </w:r>
      <w:r w:rsidDel="00000000" w:rsidR="00000000" w:rsidRPr="00000000">
        <w:rPr>
          <w:rtl w:val="0"/>
        </w:rPr>
        <w:t xml:space="preserve">Evropská unie je unikátní nadnárodní entitou, jejíž právní základy spočívají v systému mezinárodních smluv. Tyto smlouvy jsou klíčovým pramenem práva a přímo ovlivňují vnitrostátní legislativu členských států. Z hlediska metodiky občanského práva definujeme postavení subjektů následovně: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Mezinárodní smlouvy jako pramen práva:</w:t>
      </w:r>
      <w:r w:rsidDel="00000000" w:rsidR="00000000" w:rsidRPr="00000000">
        <w:rPr>
          <w:rtl w:val="0"/>
        </w:rPr>
        <w:t xml:space="preserve">  Představují primární úroveň unijního práva, která určuje pravidla pro fungování soukromoprávních i veřejnoprávních vztahů.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Stát jako právnická osoba:</w:t>
      </w:r>
      <w:r w:rsidDel="00000000" w:rsidR="00000000" w:rsidRPr="00000000">
        <w:rPr>
          <w:rtl w:val="0"/>
        </w:rPr>
        <w:t xml:space="preserve">  V rámci občanskoprávních vztahů vystupuje stát jako právnická osoba. Pokud stát nevystupuje v pozici vrchnostenské autority (jako nositel veřejné moci), je jeho postavení rovné s ostatními subjekty (fyzickými a jinými právnickými osobami).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Rovnost subjektů:</w:t>
      </w:r>
      <w:r w:rsidDel="00000000" w:rsidR="00000000" w:rsidRPr="00000000">
        <w:rPr>
          <w:rtl w:val="0"/>
        </w:rPr>
        <w:t xml:space="preserve">  V unijním i vnitrostátním soukromém právu jsou si všechny subjekty rovny, což platí i pro stát při uzavírání smluvních závazků.</w:t>
      </w:r>
      <w:r w:rsidDel="00000000" w:rsidR="00000000" w:rsidRPr="00000000">
        <w:rPr>
          <w:b w:val="1"/>
          <w:bCs w:val="1"/>
          <w:rtl w:val="0"/>
        </w:rPr>
        <w:t xml:space="preserve">2. Hlavní orgány a instituce EU</w:t>
      </w:r>
      <w:r w:rsidDel="00000000" w:rsidR="00000000" w:rsidRPr="00000000">
        <w:rPr>
          <w:rtl w:val="0"/>
        </w:rPr>
        <w:t xml:space="preserve">Institucionální struktura EU tvoří základní pilíře, které umožňují výkon dozorových a legislativních činností v rámci Unie.  </w:t>
      </w:r>
      <w:r w:rsidDel="00000000" w:rsidR="00000000" w:rsidRPr="00000000">
        <w:rPr>
          <w:i w:val="1"/>
          <w:iCs w:val="1"/>
          <w:rtl w:val="0"/>
        </w:rPr>
        <w:t xml:space="preserve">Upozornění: Zdrojový kontext definuje tyto subjekty jako základní prvky struktury maturitního okruhu, avšak neobsahuje podrobné procesní detaily legislativní tvorby.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Evropská rada:</w:t>
      </w:r>
      <w:r w:rsidDel="00000000" w:rsidR="00000000" w:rsidRPr="00000000">
        <w:rPr>
          <w:rtl w:val="0"/>
        </w:rPr>
        <w:t xml:space="preserve">  Skládá se z hlav států a vlád a určuje obecné politické směřování a priority EU.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Evropská komise:</w:t>
      </w:r>
      <w:r w:rsidDel="00000000" w:rsidR="00000000" w:rsidRPr="00000000">
        <w:rPr>
          <w:rtl w:val="0"/>
        </w:rPr>
        <w:t xml:space="preserve">  Působí jako výkonný orgán a strážkyně smluv; navrhuje legislativu a dohlíží na její uplatňování.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Rada Evropské unie (Rada):</w:t>
      </w:r>
      <w:r w:rsidDel="00000000" w:rsidR="00000000" w:rsidRPr="00000000">
        <w:rPr>
          <w:rtl w:val="0"/>
        </w:rPr>
        <w:t xml:space="preserve">  Zastupuje vlády členských států, schvaluje legislativní akty a koordinuje politiky Unie.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Evropský parlament:</w:t>
      </w:r>
      <w:r w:rsidDel="00000000" w:rsidR="00000000" w:rsidRPr="00000000">
        <w:rPr>
          <w:rtl w:val="0"/>
        </w:rPr>
        <w:t xml:space="preserve">  Instituce přímo volená občany EU, která se podílí na legislativním procesu a kontrole rozpočtu.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Soudní dvůr Evropské unie:</w:t>
      </w:r>
      <w:r w:rsidDel="00000000" w:rsidR="00000000" w:rsidRPr="00000000">
        <w:rPr>
          <w:rtl w:val="0"/>
        </w:rPr>
        <w:t xml:space="preserve">  Zajišťuje jednotný výklad a aplikaci unijního práva a rozhoduje o jeho souladu s vnitrostátními předpisy.</w:t>
      </w:r>
      <w:r w:rsidDel="00000000" w:rsidR="00000000" w:rsidRPr="00000000">
        <w:rPr>
          <w:b w:val="1"/>
          <w:bCs w:val="1"/>
          <w:rtl w:val="0"/>
        </w:rPr>
        <w:t xml:space="preserve">3. Právní řád EU a vazba na Českou republiku</w:t>
      </w:r>
      <w:r w:rsidDel="00000000" w:rsidR="00000000" w:rsidRPr="00000000">
        <w:rPr>
          <w:rtl w:val="0"/>
        </w:rPr>
        <w:t xml:space="preserve">Vazba mezi unijním a vnitrostátním právem je definována hierarchií norem a principem ochrany základních hodnot.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Hierarchie norem:</w:t>
      </w:r>
      <w:r w:rsidDel="00000000" w:rsidR="00000000" w:rsidRPr="00000000">
        <w:rPr>
          <w:rtl w:val="0"/>
        </w:rPr>
        <w:t xml:space="preserve">  Mezinárodní smlouvy jsou pramenem práva, který stojí v systému vedle občanského zákoníku. V rámci právního řádu ČR mají mezinárodní závazky specifické postavení vůči běžným zákonům.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Působí jako klíčový integrační prvek (most) mezi českým ústavním pořádkem a unijními hodnotami v oblasti ochrany integrity a lidských práv.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Digitalizace státní správy v souladu s unijními trendy:</w:t>
      </w:r>
      <w:r w:rsidDel="00000000" w:rsidR="00000000" w:rsidRPr="00000000">
        <w:rPr>
          <w:rtl w:val="0"/>
        </w:rPr>
        <w:t xml:space="preserve">  Moderní legislativa využívá nástroje jako „Portál občana“ k efektivnímu výkonu práv. Tento nástroj umožňuje digitální interakci se státní správou a přístup k registrům prostřednictvím elektronické identity (např. eObčanka, Bankovní identita).</w:t>
      </w:r>
      <w:r w:rsidDel="00000000" w:rsidR="00000000" w:rsidRPr="00000000">
        <w:rPr>
          <w:b w:val="1"/>
          <w:bCs w:val="1"/>
          <w:rtl w:val="0"/>
        </w:rPr>
        <w:t xml:space="preserve">4. Sekundární právo EU (Akty unijní legislativy)</w:t>
      </w:r>
      <w:r w:rsidDel="00000000" w:rsidR="00000000" w:rsidRPr="00000000">
        <w:rPr>
          <w:rtl w:val="0"/>
        </w:rPr>
        <w:t xml:space="preserve">Sekundární právo konkretizuje cíle stanovené v mezinárodních smlouvách. V technických odvětvích je doplňováno standardizací.| Typ aktu | Charakteristika a závaznost || ------ | ------ || </w:t>
      </w:r>
      <w:r w:rsidDel="00000000" w:rsidR="00000000" w:rsidRPr="00000000">
        <w:rPr>
          <w:b w:val="1"/>
          <w:bCs w:val="1"/>
          <w:rtl w:val="0"/>
        </w:rPr>
        <w:t xml:space="preserve">Nařízení (Regulation)</w:t>
      </w:r>
      <w:r w:rsidDel="00000000" w:rsidR="00000000" w:rsidRPr="00000000">
        <w:rPr>
          <w:rtl w:val="0"/>
        </w:rPr>
        <w:t xml:space="preserve"> | Přímo závazný akt s obecnou působností; platí ve všech státech bez nutnosti implementace do národního práva. || </w:t>
      </w:r>
      <w:r w:rsidDel="00000000" w:rsidR="00000000" w:rsidRPr="00000000">
        <w:rPr>
          <w:b w:val="1"/>
          <w:bCs w:val="1"/>
          <w:rtl w:val="0"/>
        </w:rPr>
        <w:t xml:space="preserve">Směrnice (Directive)</w:t>
      </w:r>
      <w:r w:rsidDel="00000000" w:rsidR="00000000" w:rsidRPr="00000000">
        <w:rPr>
          <w:rtl w:val="0"/>
        </w:rPr>
        <w:t xml:space="preserve"> | Závazná pro členské státy co do výsledku; volba formy a metod implementace (transpozice) je ponechána státu. || </w:t>
      </w:r>
      <w:r w:rsidDel="00000000" w:rsidR="00000000" w:rsidRPr="00000000">
        <w:rPr>
          <w:b w:val="1"/>
          <w:bCs w:val="1"/>
          <w:rtl w:val="0"/>
        </w:rPr>
        <w:t xml:space="preserve">Rozhodnutí (Decision)</w:t>
      </w:r>
      <w:r w:rsidDel="00000000" w:rsidR="00000000" w:rsidRPr="00000000">
        <w:rPr>
          <w:rtl w:val="0"/>
        </w:rPr>
        <w:t xml:space="preserve"> | Závazné v celém rozsahu pro konkrétní subjekty (státy, firmy či osoby), kterým je určeno. || </w:t>
      </w:r>
      <w:r w:rsidDel="00000000" w:rsidR="00000000" w:rsidRPr="00000000">
        <w:rPr>
          <w:b w:val="1"/>
          <w:bCs w:val="1"/>
          <w:rtl w:val="0"/>
        </w:rPr>
        <w:t xml:space="preserve">Stanoviska a Doporučení</w:t>
      </w:r>
      <w:r w:rsidDel="00000000" w:rsidR="00000000" w:rsidRPr="00000000">
        <w:rPr>
          <w:rtl w:val="0"/>
        </w:rPr>
        <w:t xml:space="preserve"> | Nejsou právně závazná; slouží jako vyjádření postojů institucí k určitým otázkám. || </w:t>
      </w:r>
      <w:r w:rsidDel="00000000" w:rsidR="00000000" w:rsidRPr="00000000">
        <w:rPr>
          <w:b w:val="1"/>
          <w:bCs w:val="1"/>
          <w:rtl w:val="0"/>
        </w:rPr>
        <w:t xml:space="preserve">Technické normy</w:t>
      </w:r>
      <w:r w:rsidDel="00000000" w:rsidR="00000000" w:rsidRPr="00000000">
        <w:rPr>
          <w:rtl w:val="0"/>
        </w:rPr>
        <w:t xml:space="preserve"> | Standardy jako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(Systém řízení) a  </w:t>
      </w:r>
      <w:r w:rsidDel="00000000" w:rsidR="00000000" w:rsidRPr="00000000">
        <w:rPr>
          <w:b w:val="1"/>
          <w:bCs w:val="1"/>
          <w:rtl w:val="0"/>
        </w:rPr>
        <w:t xml:space="preserve">ČSN EN ISO/IEC 27002:2023</w:t>
      </w:r>
      <w:r w:rsidDel="00000000" w:rsidR="00000000" w:rsidRPr="00000000">
        <w:rPr>
          <w:rtl w:val="0"/>
        </w:rPr>
        <w:t xml:space="preserve">  (Opatření informační bezpečnosti).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5. Práva občanů EU a ochrana osobnosti</w:t>
      </w:r>
      <w:r w:rsidDel="00000000" w:rsidR="00000000" w:rsidRPr="00000000">
        <w:rPr>
          <w:rtl w:val="0"/>
        </w:rPr>
        <w:t xml:space="preserve">Ochrana osobnosti je v unijním kontextu úzce spjata s ochranou integrity člověka a jeho digitální identity.</w:t>
      </w:r>
      <w:r w:rsidDel="00000000" w:rsidR="00000000" w:rsidRPr="00000000">
        <w:rPr>
          <w:b w:val="1"/>
          <w:bCs w:val="1"/>
          <w:rtl w:val="0"/>
        </w:rPr>
        <w:t xml:space="preserve">Osobnostní integrita</w:t>
      </w:r>
      <w:r w:rsidDel="00000000" w:rsidR="00000000" w:rsidRPr="00000000">
        <w:rPr>
          <w:rtl w:val="0"/>
        </w:rPr>
        <w:t xml:space="preserve">  Každý jednotlivec má právo na ochranu své tělesné i duševní nedotknutelnosti. To zahrnuje právo na soukromí, čest, důstojnost a ochranu podoby (např. zákaz pořizování fotografií bez souhlasu). V případě zásahu do těchto práv se lze domáhat: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Zdržení se protiprávního jednání.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Odstranění následků zásahu.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Náhrady majetkové i nemajetkové újmy.</w:t>
      </w:r>
      <w:r w:rsidDel="00000000" w:rsidR="00000000" w:rsidRPr="00000000">
        <w:rPr>
          <w:b w:val="1"/>
          <w:bCs w:val="1"/>
          <w:rtl w:val="0"/>
        </w:rPr>
        <w:t xml:space="preserve">Digitální práva a přístup k informacím</w:t>
      </w:r>
      <w:r w:rsidDel="00000000" w:rsidR="00000000" w:rsidRPr="00000000">
        <w:rPr>
          <w:rtl w:val="0"/>
        </w:rPr>
        <w:t xml:space="preserve">  Portál občana slouží jako prostředek pro kontrolu integrity právní identity občana. Umožňuje přístup k registrům, jako je  </w:t>
      </w:r>
      <w:r w:rsidDel="00000000" w:rsidR="00000000" w:rsidRPr="00000000">
        <w:rPr>
          <w:b w:val="1"/>
          <w:bCs w:val="1"/>
          <w:rtl w:val="0"/>
        </w:rPr>
        <w:t xml:space="preserve">Registr obyvatel</w:t>
      </w:r>
      <w:r w:rsidDel="00000000" w:rsidR="00000000" w:rsidRPr="00000000">
        <w:rPr>
          <w:rtl w:val="0"/>
        </w:rPr>
        <w:t xml:space="preserve">  (správa údajů o identitě) a  </w:t>
      </w:r>
      <w:r w:rsidDel="00000000" w:rsidR="00000000" w:rsidRPr="00000000">
        <w:rPr>
          <w:b w:val="1"/>
          <w:bCs w:val="1"/>
          <w:rtl w:val="0"/>
        </w:rPr>
        <w:t xml:space="preserve">Rejstřík trestů</w:t>
      </w:r>
      <w:r w:rsidDel="00000000" w:rsidR="00000000" w:rsidRPr="00000000">
        <w:rPr>
          <w:rtl w:val="0"/>
        </w:rPr>
        <w:t xml:space="preserve"> . Tímto způsobem může občan monitorovat a spravovat svá osobní data vedená státem v souladu s moderními standardy ochrany soukromí.</w:t>
      </w:r>
      <w:r w:rsidDel="00000000" w:rsidR="00000000" w:rsidRPr="00000000">
        <w:rPr>
          <w:b w:val="1"/>
          <w:bCs w:val="1"/>
          <w:rtl w:val="0"/>
        </w:rPr>
        <w:t xml:space="preserve">6. Praktické aplikace a dohledové orgány</w:t>
      </w:r>
      <w:r w:rsidDel="00000000" w:rsidR="00000000" w:rsidRPr="00000000">
        <w:rPr>
          <w:rtl w:val="0"/>
        </w:rPr>
        <w:t xml:space="preserve">Efektivní aplikace unijní legislativy vyžaduje součinnost dozorových orgánů a implementaci systematických bezpečnostních procesů (např. v rámci kybernetické bezpečnosti).</w:t>
      </w:r>
      <w:r w:rsidDel="00000000" w:rsidR="00000000" w:rsidRPr="00000000">
        <w:rPr>
          <w:b w:val="1"/>
          <w:bCs w:val="1"/>
          <w:rtl w:val="0"/>
        </w:rPr>
        <w:t xml:space="preserve">Klíčové body pro ústní projev: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Dozorové orgány:</w:t>
      </w:r>
      <w:r w:rsidDel="00000000" w:rsidR="00000000" w:rsidRPr="00000000">
        <w:rPr>
          <w:rtl w:val="0"/>
        </w:rPr>
        <w:t xml:space="preserve">  Mají nezastupitelnou roli při kontrole dodržování legislativních norem na národní i unijní úrovni.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ISMS (Systém řízení informační bezpečnosti):</w:t>
      </w:r>
      <w:r w:rsidDel="00000000" w:rsidR="00000000" w:rsidRPr="00000000">
        <w:rPr>
          <w:rtl w:val="0"/>
        </w:rPr>
        <w:t xml:space="preserve">  Představuje systematické úsilí o ochranu aktiv (HW, SW, služby, data) prostřednictvím neustálého zlepšování (PDCA cyklus).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Cíle bezpečnosti (CIA Triad):</w:t>
      </w:r>
      <w:r w:rsidDel="00000000" w:rsidR="00000000" w:rsidRPr="00000000">
        <w:rPr>
          <w:rtl w:val="0"/>
        </w:rPr>
        <w:t xml:space="preserve">  Základním účelem technických a organizačních opatření je zajistit  </w:t>
      </w:r>
      <w:r w:rsidDel="00000000" w:rsidR="00000000" w:rsidRPr="00000000">
        <w:rPr>
          <w:b w:val="1"/>
          <w:bCs w:val="1"/>
          <w:rtl w:val="0"/>
        </w:rPr>
        <w:t xml:space="preserve">Důvěrnost</w:t>
      </w:r>
      <w:r w:rsidDel="00000000" w:rsidR="00000000" w:rsidRPr="00000000">
        <w:rPr>
          <w:rtl w:val="0"/>
        </w:rPr>
        <w:t xml:space="preserve">  (Confidentiality),  </w:t>
      </w:r>
      <w:r w:rsidDel="00000000" w:rsidR="00000000" w:rsidRPr="00000000">
        <w:rPr>
          <w:b w:val="1"/>
          <w:bCs w:val="1"/>
          <w:rtl w:val="0"/>
        </w:rPr>
        <w:t xml:space="preserve">Integritu</w:t>
      </w:r>
      <w:r w:rsidDel="00000000" w:rsidR="00000000" w:rsidRPr="00000000">
        <w:rPr>
          <w:rtl w:val="0"/>
        </w:rPr>
        <w:t xml:space="preserve">  (Integrity) a  </w:t>
      </w:r>
      <w:r w:rsidDel="00000000" w:rsidR="00000000" w:rsidRPr="00000000">
        <w:rPr>
          <w:b w:val="1"/>
          <w:bCs w:val="1"/>
          <w:rtl w:val="0"/>
        </w:rPr>
        <w:t xml:space="preserve">Dostupnost</w:t>
      </w:r>
      <w:r w:rsidDel="00000000" w:rsidR="00000000" w:rsidRPr="00000000">
        <w:rPr>
          <w:rtl w:val="0"/>
        </w:rPr>
        <w:t xml:space="preserve">  (Availability) informací.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Ochrana soukromí v praxi:</w:t>
      </w:r>
      <w:r w:rsidDel="00000000" w:rsidR="00000000" w:rsidRPr="00000000">
        <w:rPr>
          <w:rtl w:val="0"/>
        </w:rPr>
        <w:t xml:space="preserve">  Implementace normy ČSN EN ISO/IEC 27002:2023 je konkrétním způsobem, jak naplnit právní požadavky na ochranu soukromí a kybernetickou odolnost.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