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v5g586pay79" w:id="0"/>
      <w:bookmarkEnd w:id="0"/>
      <w:r w:rsidDel="00000000" w:rsidR="00000000" w:rsidRPr="00000000">
        <w:rPr>
          <w:rtl w:val="0"/>
        </w:rPr>
        <w:t xml:space="preserve">Právní, organizační a bezpečnostní pilíře podnikání v digitální éře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dokument předkládá expertní syntézu klíčových aspektů nezbytných pro efektivní a bezpečné řízení podniku v současném digitálním prostředí. Právní ukotvení podnikání reflektuje principy soukromoprávního vztahu, kde je kladen důraz na autonomii vůle, minimalizaci právních rizik a striktní dodržování standardů informační bezpečnosti.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y0gut1lbq2w6" w:id="1"/>
      <w:bookmarkEnd w:id="1"/>
      <w:r w:rsidDel="00000000" w:rsidR="00000000" w:rsidRPr="00000000">
        <w:rPr>
          <w:rtl w:val="0"/>
        </w:rPr>
        <w:t xml:space="preserve">1. Úvod do podnikání a právní základy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 rámci českého právního řádu je podnikání definováno jako činnost vykonávaná mezi rovnými subjekty v souladu s principy soukromého práva. Právní rámec tvoří hierarchický systém norem, jejichž znalost je pro management kritická.</w:t>
      </w:r>
      <w:r w:rsidDel="00000000" w:rsidR="00000000" w:rsidRPr="00000000">
        <w:rPr>
          <w:b w:val="1"/>
          <w:bCs w:val="1"/>
          <w:rtl w:val="0"/>
        </w:rPr>
        <w:t xml:space="preserve">Prameny práva a judikatura: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zákoník:</w:t>
      </w:r>
      <w:r w:rsidDel="00000000" w:rsidR="00000000" w:rsidRPr="00000000">
        <w:rPr>
          <w:rtl w:val="0"/>
        </w:rPr>
        <w:t xml:space="preserve">  Primární kodex upravující věcná, závazková a dědická práva.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Ústavní základ pro ochranu vlastnictví a soukromí.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Autorský zákon:</w:t>
      </w:r>
      <w:r w:rsidDel="00000000" w:rsidR="00000000" w:rsidRPr="00000000">
        <w:rPr>
          <w:rtl w:val="0"/>
        </w:rPr>
        <w:t xml:space="preserve">  Klíčová norma pro ochranu duševního vlastnictví a softwarových aktiv.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Judikatura a Mezinárodní smlouvy:</w:t>
      </w:r>
      <w:r w:rsidDel="00000000" w:rsidR="00000000" w:rsidRPr="00000000">
        <w:rPr>
          <w:rtl w:val="0"/>
        </w:rPr>
        <w:t xml:space="preserve">  Rozhodovací praxe soudů (Nejvyšší a Ústavní soud) a mezinárodní závazky doplňují výklad zákonných norem.</w:t>
      </w:r>
      <w:r w:rsidDel="00000000" w:rsidR="00000000" w:rsidRPr="00000000">
        <w:rPr>
          <w:b w:val="1"/>
          <w:bCs w:val="1"/>
          <w:rtl w:val="0"/>
        </w:rPr>
        <w:t xml:space="preserve">Právní postavení fyzických osob (FO):</w:t>
      </w:r>
      <w:r w:rsidDel="00000000" w:rsidR="00000000" w:rsidRPr="00000000">
        <w:rPr>
          <w:rtl w:val="0"/>
        </w:rPr>
        <w:t xml:space="preserve">  Z pohledu právního poradenství je nutné precizně rozlišovat mezi dvěma aspekty subjektivity: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Právní osobnost:</w:t>
      </w:r>
      <w:r w:rsidDel="00000000" w:rsidR="00000000" w:rsidRPr="00000000">
        <w:rPr>
          <w:rtl w:val="0"/>
        </w:rPr>
        <w:t xml:space="preserve">  Schopnost mít práva a povinnosti, která vzniká narozením a zaniká smrtí. Je nezadatelná a nelze ji odebrat.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Svéprávnost:</w:t>
      </w:r>
      <w:r w:rsidDel="00000000" w:rsidR="00000000" w:rsidRPr="00000000">
        <w:rPr>
          <w:rtl w:val="0"/>
        </w:rPr>
        <w:t xml:space="preserve">  Způsobilost k právnímu jednání. Plná svéprávnost nastává zletilostí (případně emancipací od 16 let). Soud může svéprávnost omezit pouze v zákonem stanovených případech, a to standardně na  </w:t>
      </w:r>
      <w:r w:rsidDel="00000000" w:rsidR="00000000" w:rsidRPr="00000000">
        <w:rPr>
          <w:b w:val="1"/>
          <w:bCs w:val="1"/>
          <w:rtl w:val="0"/>
        </w:rPr>
        <w:t xml:space="preserve">maximálně 3 roky</w:t>
      </w:r>
      <w:r w:rsidDel="00000000" w:rsidR="00000000" w:rsidRPr="00000000">
        <w:rPr>
          <w:rtl w:val="0"/>
        </w:rPr>
        <w:t xml:space="preserve"> . Pokud se stav osoby nezlepší, lze omezení prodloužit na  </w:t>
      </w:r>
      <w:r w:rsidDel="00000000" w:rsidR="00000000" w:rsidRPr="00000000">
        <w:rPr>
          <w:b w:val="1"/>
          <w:bCs w:val="1"/>
          <w:rtl w:val="0"/>
        </w:rPr>
        <w:t xml:space="preserve">maximálně 5 let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Ochrana osobnosti v podnikání:</w:t>
      </w:r>
      <w:r w:rsidDel="00000000" w:rsidR="00000000" w:rsidRPr="00000000">
        <w:rPr>
          <w:rtl w:val="0"/>
        </w:rPr>
        <w:t xml:space="preserve">  Každý zásah do integrity, cti či soukromí zakládá nároky na  </w:t>
      </w:r>
      <w:r w:rsidDel="00000000" w:rsidR="00000000" w:rsidRPr="00000000">
        <w:rPr>
          <w:b w:val="1"/>
          <w:bCs w:val="1"/>
          <w:rtl w:val="0"/>
        </w:rPr>
        <w:t xml:space="preserve">zdržení se</w:t>
      </w:r>
      <w:r w:rsidDel="00000000" w:rsidR="00000000" w:rsidRPr="00000000">
        <w:rPr>
          <w:rtl w:val="0"/>
        </w:rPr>
        <w:t xml:space="preserve">  neoprávněného jednání,  </w:t>
      </w:r>
      <w:r w:rsidDel="00000000" w:rsidR="00000000" w:rsidRPr="00000000">
        <w:rPr>
          <w:b w:val="1"/>
          <w:bCs w:val="1"/>
          <w:rtl w:val="0"/>
        </w:rPr>
        <w:t xml:space="preserve">odstranění následků</w:t>
      </w:r>
      <w:r w:rsidDel="00000000" w:rsidR="00000000" w:rsidRPr="00000000">
        <w:rPr>
          <w:rtl w:val="0"/>
        </w:rPr>
        <w:t xml:space="preserve">  (restitutio in integrum) a  </w:t>
      </w:r>
      <w:r w:rsidDel="00000000" w:rsidR="00000000" w:rsidRPr="00000000">
        <w:rPr>
          <w:b w:val="1"/>
          <w:bCs w:val="1"/>
          <w:rtl w:val="0"/>
        </w:rPr>
        <w:t xml:space="preserve">náhradu majetkové či nemajetkové újmy</w:t>
      </w:r>
      <w:r w:rsidDel="00000000" w:rsidR="00000000" w:rsidRPr="00000000">
        <w:rPr>
          <w:rtl w:val="0"/>
        </w:rPr>
        <w:t xml:space="preserve"> . V digitální éře je tato ochrana klíčová zejména při správě digitální identity a reputace podniku.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gft1h2vvr20u" w:id="2"/>
      <w:bookmarkEnd w:id="2"/>
      <w:r w:rsidDel="00000000" w:rsidR="00000000" w:rsidRPr="00000000">
        <w:rPr>
          <w:rtl w:val="0"/>
        </w:rPr>
        <w:t xml:space="preserve">2. Obchodní korporace a jejich správa podle ZOK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Korporace je definována jako právnická osoba (PO) tvořená členy nebo společníky (osobní složka). V soukromoprávních vztazích je důležité upozornit, že i  </w:t>
      </w:r>
      <w:r w:rsidDel="00000000" w:rsidR="00000000" w:rsidRPr="00000000">
        <w:rPr>
          <w:b w:val="1"/>
          <w:bCs w:val="1"/>
          <w:rtl w:val="0"/>
        </w:rPr>
        <w:t xml:space="preserve">stát se považuje za právnickou osobu</w:t>
      </w:r>
      <w:r w:rsidDel="00000000" w:rsidR="00000000" w:rsidRPr="00000000">
        <w:rPr>
          <w:rtl w:val="0"/>
        </w:rPr>
        <w:t xml:space="preserve"> , pokud nevystupuje jako vrchnostenský orgán, ale jako rovný účastník smluvního vztahu.</w:t>
      </w:r>
      <w:r w:rsidDel="00000000" w:rsidR="00000000" w:rsidRPr="00000000">
        <w:rPr>
          <w:b w:val="1"/>
          <w:bCs w:val="1"/>
          <w:rtl w:val="0"/>
        </w:rPr>
        <w:t xml:space="preserve">Struktura a majetková specifika: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Obchodní korporace (s.r.o., a.s.):</w:t>
      </w:r>
      <w:r w:rsidDel="00000000" w:rsidR="00000000" w:rsidRPr="00000000">
        <w:rPr>
          <w:rtl w:val="0"/>
        </w:rPr>
        <w:t xml:space="preserve">  Zaměřeny na podnikání, kde rozhodování probíhá hlasováním členů či orgánů.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Fundace (Nadace a nadační fondy):</w:t>
      </w:r>
      <w:r w:rsidDel="00000000" w:rsidR="00000000" w:rsidRPr="00000000">
        <w:rPr>
          <w:rtl w:val="0"/>
        </w:rPr>
        <w:t xml:space="preserve">  Na rozdíl od korporací nemají členy, ale majetkový základ (fundus). U nadací je zákonem vyžadován minimální vklad ve výši  </w:t>
      </w:r>
      <w:r w:rsidDel="00000000" w:rsidR="00000000" w:rsidRPr="00000000">
        <w:rPr>
          <w:b w:val="1"/>
          <w:bCs w:val="1"/>
          <w:rtl w:val="0"/>
        </w:rPr>
        <w:t xml:space="preserve">500 000 Kč</w:t>
      </w:r>
      <w:r w:rsidDel="00000000" w:rsidR="00000000" w:rsidRPr="00000000">
        <w:rPr>
          <w:rtl w:val="0"/>
        </w:rPr>
        <w:t xml:space="preserve">  a předpokládá se jejich trvalý charakter.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Ústavy:</w:t>
      </w:r>
      <w:r w:rsidDel="00000000" w:rsidR="00000000" w:rsidRPr="00000000">
        <w:rPr>
          <w:rtl w:val="0"/>
        </w:rPr>
        <w:t xml:space="preserve">  Propojují osobní složku (zaměstnance) s majetkovou za účelem poskytování veřejně prospěšných služeb.</w:t>
      </w:r>
      <w:r w:rsidDel="00000000" w:rsidR="00000000" w:rsidRPr="00000000">
        <w:rPr>
          <w:b w:val="1"/>
          <w:bCs w:val="1"/>
          <w:rtl w:val="0"/>
        </w:rPr>
        <w:t xml:space="preserve">Správa a orgány:</w:t>
      </w:r>
      <w:r w:rsidDel="00000000" w:rsidR="00000000" w:rsidRPr="00000000">
        <w:rPr>
          <w:rtl w:val="0"/>
        </w:rPr>
        <w:t xml:space="preserve">  Zajištění řádné správy (Corporate Governance) vyžaduje ustavení  </w:t>
      </w:r>
      <w:r w:rsidDel="00000000" w:rsidR="00000000" w:rsidRPr="00000000">
        <w:rPr>
          <w:b w:val="1"/>
          <w:bCs w:val="1"/>
          <w:rtl w:val="0"/>
        </w:rPr>
        <w:t xml:space="preserve">statutárního orgánu</w:t>
      </w:r>
      <w:r w:rsidDel="00000000" w:rsidR="00000000" w:rsidRPr="00000000">
        <w:rPr>
          <w:rtl w:val="0"/>
        </w:rPr>
        <w:t xml:space="preserve">  (jednatel, ředitel), který zastupuje entitu navenek, a  </w:t>
      </w:r>
      <w:r w:rsidDel="00000000" w:rsidR="00000000" w:rsidRPr="00000000">
        <w:rPr>
          <w:b w:val="1"/>
          <w:bCs w:val="1"/>
          <w:rtl w:val="0"/>
        </w:rPr>
        <w:t xml:space="preserve">kontrolních orgánů</w:t>
      </w:r>
      <w:r w:rsidDel="00000000" w:rsidR="00000000" w:rsidRPr="00000000">
        <w:rPr>
          <w:rtl w:val="0"/>
        </w:rPr>
        <w:t xml:space="preserve">  (dozorčí rada, revizor), jež dohlížejí na hospodaření v souladu s vnitřními stanovami a legislativou.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7iuziptbwpg2" w:id="3"/>
      <w:bookmarkEnd w:id="3"/>
      <w:r w:rsidDel="00000000" w:rsidR="00000000" w:rsidRPr="00000000">
        <w:rPr>
          <w:rtl w:val="0"/>
        </w:rPr>
        <w:t xml:space="preserve">3. Živnostenské podnikání a digitalizace státní správy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Živnostenské podnikání v moderním pojetí vyžaduje aktivní využívání digitálních služeb státu k zajištění souladu s administrativními požadavky.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Portál občana:</w:t>
      </w:r>
      <w:r w:rsidDel="00000000" w:rsidR="00000000" w:rsidRPr="00000000">
        <w:rPr>
          <w:rtl w:val="0"/>
        </w:rPr>
        <w:t xml:space="preserve">  Ústřední rozhraní umožňující podnikatelům získávat výpisy z rejstříků, spravovat datové schránky a komunikovat s úřady elektronicky, což významně snižuje administrativní zátěž.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Ověření identity:</w:t>
      </w:r>
      <w:r w:rsidDel="00000000" w:rsidR="00000000" w:rsidRPr="00000000">
        <w:rPr>
          <w:rtl w:val="0"/>
        </w:rPr>
        <w:t xml:space="preserve">  Přístup k těmto službám je podmíněn využitím státem garantované elektronické identity, jako je  </w:t>
      </w:r>
      <w:r w:rsidDel="00000000" w:rsidR="00000000" w:rsidRPr="00000000">
        <w:rPr>
          <w:b w:val="1"/>
          <w:bCs w:val="1"/>
          <w:rtl w:val="0"/>
        </w:rPr>
        <w:t xml:space="preserve">Bankovní identita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eObčanka</w:t>
      </w:r>
      <w:r w:rsidDel="00000000" w:rsidR="00000000" w:rsidRPr="00000000">
        <w:rPr>
          <w:rtl w:val="0"/>
        </w:rPr>
        <w:t xml:space="preserve">  nebo  </w:t>
      </w:r>
      <w:r w:rsidDel="00000000" w:rsidR="00000000" w:rsidRPr="00000000">
        <w:rPr>
          <w:b w:val="1"/>
          <w:bCs w:val="1"/>
          <w:rtl w:val="0"/>
        </w:rPr>
        <w:t xml:space="preserve">MojeID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5y5vqn6o5ikn" w:id="4"/>
      <w:bookmarkEnd w:id="4"/>
      <w:r w:rsidDel="00000000" w:rsidR="00000000" w:rsidRPr="00000000">
        <w:rPr>
          <w:rtl w:val="0"/>
        </w:rPr>
        <w:t xml:space="preserve">4. Marketingové strategie a tržní plánování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Vývoj marketingového myšlení reflektuje posun od masové produkce k personalizovaným a etickým službám.</w:t>
      </w:r>
      <w:r w:rsidDel="00000000" w:rsidR="00000000" w:rsidRPr="00000000">
        <w:rPr>
          <w:b w:val="1"/>
          <w:bCs w:val="1"/>
          <w:rtl w:val="0"/>
        </w:rPr>
        <w:t xml:space="preserve">Přehled podnikatelských koncepcí: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Výrobní:</w:t>
      </w:r>
      <w:r w:rsidDel="00000000" w:rsidR="00000000" w:rsidRPr="00000000">
        <w:rPr>
          <w:rtl w:val="0"/>
        </w:rPr>
        <w:t xml:space="preserve">  Heslo: „Levnější výrobek“. Důraz na objem a zlevnění (typicky Baťa, Ford).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Výrobková:</w:t>
      </w:r>
      <w:r w:rsidDel="00000000" w:rsidR="00000000" w:rsidRPr="00000000">
        <w:rPr>
          <w:rtl w:val="0"/>
        </w:rPr>
        <w:t xml:space="preserve">  „Kvalitnější výrobek si svého zákazníka najde“. Zaměřeno na luxusní segment.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Prodejní:</w:t>
      </w:r>
      <w:r w:rsidDel="00000000" w:rsidR="00000000" w:rsidRPr="00000000">
        <w:rPr>
          <w:rtl w:val="0"/>
        </w:rPr>
        <w:t xml:space="preserve">  Mantra:  </w:t>
      </w:r>
      <w:r w:rsidDel="00000000" w:rsidR="00000000" w:rsidRPr="00000000">
        <w:rPr>
          <w:b w:val="1"/>
          <w:bCs w:val="1"/>
          <w:rtl w:val="0"/>
        </w:rPr>
        <w:t xml:space="preserve">„Prodat to, co jsem vyrobil a nevyrábět to, co bych prodal“</w:t>
      </w:r>
      <w:r w:rsidDel="00000000" w:rsidR="00000000" w:rsidRPr="00000000">
        <w:rPr>
          <w:rtl w:val="0"/>
        </w:rPr>
        <w:t xml:space="preserve"> . Agresivní reklama a masová distribuce.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Marketingová:</w:t>
      </w:r>
      <w:r w:rsidDel="00000000" w:rsidR="00000000" w:rsidRPr="00000000">
        <w:rPr>
          <w:rtl w:val="0"/>
        </w:rPr>
        <w:t xml:space="preserve">  „Uspokojování potřeb zákazníka“. Výroba na základě průzkumu trhu.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Sociální:</w:t>
      </w:r>
      <w:r w:rsidDel="00000000" w:rsidR="00000000" w:rsidRPr="00000000">
        <w:rPr>
          <w:rtl w:val="0"/>
        </w:rPr>
        <w:t xml:space="preserve">  „Uspokojování potřeb zákazníka a společnosti“. Důraz na etiku a ekologii.</w:t>
      </w:r>
      <w:r w:rsidDel="00000000" w:rsidR="00000000" w:rsidRPr="00000000">
        <w:rPr>
          <w:b w:val="1"/>
          <w:bCs w:val="1"/>
          <w:rtl w:val="0"/>
        </w:rPr>
        <w:t xml:space="preserve">Analýza SWOT a strategické řízení:</w:t>
      </w:r>
      <w:r w:rsidDel="00000000" w:rsidR="00000000" w:rsidRPr="00000000">
        <w:rPr>
          <w:rtl w:val="0"/>
        </w:rPr>
        <w:t xml:space="preserve">  Proces plánování musí vycházet z posouzení vnitřních faktorů ( </w:t>
      </w:r>
      <w:r w:rsidDel="00000000" w:rsidR="00000000" w:rsidRPr="00000000">
        <w:rPr>
          <w:b w:val="1"/>
          <w:bCs w:val="1"/>
          <w:rtl w:val="0"/>
        </w:rPr>
        <w:t xml:space="preserve">Silné a Slabé stránky</w:t>
      </w:r>
      <w:r w:rsidDel="00000000" w:rsidR="00000000" w:rsidRPr="00000000">
        <w:rPr>
          <w:rtl w:val="0"/>
        </w:rPr>
        <w:t xml:space="preserve"> ) a vnějších činitelů ( </w:t>
      </w:r>
      <w:r w:rsidDel="00000000" w:rsidR="00000000" w:rsidRPr="00000000">
        <w:rPr>
          <w:b w:val="1"/>
          <w:bCs w:val="1"/>
          <w:rtl w:val="0"/>
        </w:rPr>
        <w:t xml:space="preserve">Příležitosti a Hrozby</w:t>
      </w:r>
      <w:r w:rsidDel="00000000" w:rsidR="00000000" w:rsidRPr="00000000">
        <w:rPr>
          <w:rtl w:val="0"/>
        </w:rPr>
        <w:t xml:space="preserve"> ). Na výsledky analýzy navazují strategie: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(Ofenzivní):</w:t>
      </w:r>
      <w:r w:rsidDel="00000000" w:rsidR="00000000" w:rsidRPr="00000000">
        <w:rPr>
          <w:rtl w:val="0"/>
        </w:rPr>
        <w:t xml:space="preserve">  Využití silných stránek k expanzi.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 (Defenzivní):</w:t>
      </w:r>
      <w:r w:rsidDel="00000000" w:rsidR="00000000" w:rsidRPr="00000000">
        <w:rPr>
          <w:rtl w:val="0"/>
        </w:rPr>
        <w:t xml:space="preserve">  Využití vnitřní síly k eliminaci externích hrozeb.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 (Spojenectví):</w:t>
      </w:r>
      <w:r w:rsidDel="00000000" w:rsidR="00000000" w:rsidRPr="00000000">
        <w:rPr>
          <w:rtl w:val="0"/>
        </w:rPr>
        <w:t xml:space="preserve">  Odstraňování slabin s využitím příležitostí.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WT (Únik/Likvidace):</w:t>
      </w:r>
      <w:r w:rsidDel="00000000" w:rsidR="00000000" w:rsidRPr="00000000">
        <w:rPr>
          <w:rtl w:val="0"/>
        </w:rPr>
        <w:t xml:space="preserve">  Krizový scénář pro minimalizaci škod.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9we8sxumynii" w:id="5"/>
      <w:bookmarkEnd w:id="5"/>
      <w:r w:rsidDel="00000000" w:rsidR="00000000" w:rsidRPr="00000000">
        <w:rPr>
          <w:rtl w:val="0"/>
        </w:rPr>
        <w:t xml:space="preserve">5. Kybernetická bezpečnost a IT legislativa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 digitálním prostoru je bezpečnost integrální součástí právní odpovědnosti podniku.</w:t>
      </w:r>
      <w:r w:rsidDel="00000000" w:rsidR="00000000" w:rsidRPr="00000000">
        <w:rPr>
          <w:b w:val="1"/>
          <w:bCs w:val="1"/>
          <w:rtl w:val="0"/>
        </w:rPr>
        <w:t xml:space="preserve">Architektura a bezpečnost sítí:</w:t>
      </w:r>
      <w:r w:rsidDel="00000000" w:rsidR="00000000" w:rsidRPr="00000000">
        <w:rPr>
          <w:rtl w:val="0"/>
        </w:rPr>
        <w:t xml:space="preserve">  Otevřená a nesegmentovaná (plochá) síť představuje přímé pozvání ke kybernetickému útoku. V souladu s osvědčenou praxí je nutná  </w:t>
      </w:r>
      <w:r w:rsidDel="00000000" w:rsidR="00000000" w:rsidRPr="00000000">
        <w:rPr>
          <w:b w:val="1"/>
          <w:bCs w:val="1"/>
          <w:rtl w:val="0"/>
        </w:rPr>
        <w:t xml:space="preserve">bezpečnostní segmentace</w:t>
      </w:r>
      <w:r w:rsidDel="00000000" w:rsidR="00000000" w:rsidRPr="00000000">
        <w:rPr>
          <w:rtl w:val="0"/>
        </w:rPr>
        <w:t xml:space="preserve">  do zón (např. pomocí VLAN a ACL). Tento přístup nemírní pouze externí hrozby, ale efektivně blokuje i hrozby interní a omezuje laterální pohyb útočníka v síti. Klíčovým prvkem zůstává  </w:t>
      </w:r>
      <w:r w:rsidDel="00000000" w:rsidR="00000000" w:rsidRPr="00000000">
        <w:rPr>
          <w:b w:val="1"/>
          <w:bCs w:val="1"/>
          <w:rtl w:val="0"/>
        </w:rPr>
        <w:t xml:space="preserve">DMZ (Demilitarizovaná zóna)</w:t>
      </w:r>
      <w:r w:rsidDel="00000000" w:rsidR="00000000" w:rsidRPr="00000000">
        <w:rPr>
          <w:rtl w:val="0"/>
        </w:rPr>
        <w:t xml:space="preserve">  pro oddělení veřejných služeb od interní infrastruktury.</w:t>
      </w:r>
      <w:r w:rsidDel="00000000" w:rsidR="00000000" w:rsidRPr="00000000">
        <w:rPr>
          <w:b w:val="1"/>
          <w:bCs w:val="1"/>
          <w:rtl w:val="0"/>
        </w:rPr>
        <w:t xml:space="preserve">Systém řízení informační bezpečnosti (ISMS):</w:t>
      </w:r>
      <w:r w:rsidDel="00000000" w:rsidR="00000000" w:rsidRPr="00000000">
        <w:rPr>
          <w:rtl w:val="0"/>
        </w:rPr>
        <w:t xml:space="preserve">  Implementace standardu  </w:t>
      </w:r>
      <w:r w:rsidDel="00000000" w:rsidR="00000000" w:rsidRPr="00000000">
        <w:rPr>
          <w:b w:val="1"/>
          <w:bCs w:val="1"/>
          <w:rtl w:val="0"/>
        </w:rPr>
        <w:t xml:space="preserve">ČSN EN ISO/IEC 27001:2023 – Informační bezpečnost, kybernetická bezpečnost a ochrana soukromí</w:t>
      </w:r>
      <w:r w:rsidDel="00000000" w:rsidR="00000000" w:rsidRPr="00000000">
        <w:rPr>
          <w:rtl w:val="0"/>
        </w:rPr>
        <w:t xml:space="preserve">  je základem ochrany aktiv. Expertní upozornění:  </w:t>
      </w:r>
      <w:r w:rsidDel="00000000" w:rsidR="00000000" w:rsidRPr="00000000">
        <w:rPr>
          <w:b w:val="1"/>
          <w:bCs w:val="1"/>
          <w:rtl w:val="0"/>
        </w:rPr>
        <w:t xml:space="preserve">Řízení bezpečnosti informací není ISMS, ale pouze jeho část!</w:t>
      </w:r>
      <w:r w:rsidDel="00000000" w:rsidR="00000000" w:rsidRPr="00000000">
        <w:rPr>
          <w:rtl w:val="0"/>
        </w:rPr>
        <w:t xml:space="preserve">  ISMS je komplexní proces ochrany aktiv zahrnující: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HW, SW, Služby a Data.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Cíle: 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(přístup jen oprávněným), 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 (přesnost a úplnost) a 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Autorské právo k softwaru:</w:t>
      </w:r>
      <w:r w:rsidDel="00000000" w:rsidR="00000000" w:rsidRPr="00000000">
        <w:rPr>
          <w:rtl w:val="0"/>
        </w:rPr>
        <w:t xml:space="preserve">  Software je chráněn jako autorské dílo. Důležité je rozlišení:  </w:t>
      </w:r>
      <w:r w:rsidDel="00000000" w:rsidR="00000000" w:rsidRPr="00000000">
        <w:rPr>
          <w:b w:val="1"/>
          <w:bCs w:val="1"/>
          <w:rtl w:val="0"/>
        </w:rPr>
        <w:t xml:space="preserve">nechrání se myšlenka, pouze konkrétní zpracování (vyjádření)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Osobnostní práva:</w:t>
      </w:r>
      <w:r w:rsidDel="00000000" w:rsidR="00000000" w:rsidRPr="00000000">
        <w:rPr>
          <w:rtl w:val="0"/>
        </w:rPr>
        <w:t xml:space="preserve">  Nepřevoditelná, zanikají smrtí autora.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Majetková práva:</w:t>
      </w:r>
      <w:r w:rsidDel="00000000" w:rsidR="00000000" w:rsidRPr="00000000">
        <w:rPr>
          <w:rtl w:val="0"/>
        </w:rPr>
        <w:t xml:space="preserve">  Převoditelná (licence), trvají  </w:t>
      </w:r>
      <w:r w:rsidDel="00000000" w:rsidR="00000000" w:rsidRPr="00000000">
        <w:rPr>
          <w:b w:val="1"/>
          <w:bCs w:val="1"/>
          <w:rtl w:val="0"/>
        </w:rPr>
        <w:t xml:space="preserve">70 let po smrti autora</w:t>
      </w:r>
      <w:r w:rsidDel="00000000" w:rsidR="00000000" w:rsidRPr="00000000">
        <w:rPr>
          <w:rtl w:val="0"/>
        </w:rPr>
        <w:t xml:space="preserve"> . Licence mohou být  </w:t>
      </w:r>
      <w:r w:rsidDel="00000000" w:rsidR="00000000" w:rsidRPr="00000000">
        <w:rPr>
          <w:b w:val="1"/>
          <w:bCs w:val="1"/>
          <w:rtl w:val="0"/>
        </w:rPr>
        <w:t xml:space="preserve">výhradní</w:t>
      </w:r>
      <w:r w:rsidDel="00000000" w:rsidR="00000000" w:rsidRPr="00000000">
        <w:rPr>
          <w:rtl w:val="0"/>
        </w:rPr>
        <w:t xml:space="preserve">  (nabyvatel má exkluzivitu) nebo  </w:t>
      </w:r>
      <w:r w:rsidDel="00000000" w:rsidR="00000000" w:rsidRPr="00000000">
        <w:rPr>
          <w:b w:val="1"/>
          <w:bCs w:val="1"/>
          <w:rtl w:val="0"/>
        </w:rPr>
        <w:t xml:space="preserve">nevýhradní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1l55v8tiyfed" w:id="6"/>
      <w:bookmarkEnd w:id="6"/>
      <w:r w:rsidDel="00000000" w:rsidR="00000000" w:rsidRPr="00000000">
        <w:rPr>
          <w:rtl w:val="0"/>
        </w:rPr>
        <w:t xml:space="preserve">6. Kontrola, audit a kontinuita podnikání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Udržení vysoké úrovně bezpečnosti a souladu s legislativou vyžaduje cyklický přístup k řízení.</w:t>
      </w:r>
      <w:r w:rsidDel="00000000" w:rsidR="00000000" w:rsidRPr="00000000">
        <w:rPr>
          <w:b w:val="1"/>
          <w:bCs w:val="1"/>
          <w:rtl w:val="0"/>
        </w:rPr>
        <w:t xml:space="preserve">PDCA Cyklus (Demingův model):</w:t>
      </w:r>
      <w:r w:rsidDel="00000000" w:rsidR="00000000" w:rsidRPr="00000000">
        <w:rPr>
          <w:rtl w:val="0"/>
        </w:rPr>
        <w:t xml:space="preserve">  Tento dynamický proces neustálého zlepšování zahrnuje fáze  </w:t>
      </w:r>
      <w:r w:rsidDel="00000000" w:rsidR="00000000" w:rsidRPr="00000000">
        <w:rPr>
          <w:b w:val="1"/>
          <w:bCs w:val="1"/>
          <w:rtl w:val="0"/>
        </w:rPr>
        <w:t xml:space="preserve">Naplánuj (Plan) – Udělej (Do) – Zkontroluj (Check) – Jednej (Act)</w:t>
      </w:r>
      <w:r w:rsidDel="00000000" w:rsidR="00000000" w:rsidRPr="00000000">
        <w:rPr>
          <w:rtl w:val="0"/>
        </w:rPr>
        <w:t xml:space="preserve"> . Pro management je tento cyklus nezbytný k zajištění kontinuity podnikání a včasné reakci na nové hrozby.</w:t>
      </w:r>
      <w:r w:rsidDel="00000000" w:rsidR="00000000" w:rsidRPr="00000000">
        <w:rPr>
          <w:b w:val="1"/>
          <w:bCs w:val="1"/>
          <w:rtl w:val="0"/>
        </w:rPr>
        <w:t xml:space="preserve">Proaktivní testování odolnosti:</w:t>
      </w:r>
      <w:r w:rsidDel="00000000" w:rsidR="00000000" w:rsidRPr="00000000">
        <w:rPr>
          <w:rtl w:val="0"/>
        </w:rPr>
        <w:t xml:space="preserve">  Penetrační testování slouží k odhalení zranitelností dříve, než jsou zneužity. Rozlišujeme tři základní kategorie: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Simulace útoku s nulovou znalostí systému.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Testování s plnou znalostí (včetně zdrojových kódů a architektury).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Testování s částečnou znalostí vnitřních procesů, simulující útok informovaného uživatele.</w:t>
      </w:r>
      <w:r w:rsidDel="00000000" w:rsidR="00000000" w:rsidRPr="00000000">
        <w:rPr>
          <w:b w:val="1"/>
          <w:bCs w:val="1"/>
          <w:rtl w:val="0"/>
        </w:rPr>
        <w:t xml:space="preserve">Závěr pro management:</w:t>
      </w:r>
      <w:r w:rsidDel="00000000" w:rsidR="00000000" w:rsidRPr="00000000">
        <w:rPr>
          <w:rtl w:val="0"/>
        </w:rPr>
        <w:t xml:space="preserve">  Zajištění prosperity v digitální éře vyžaduje symbiózu právní obezřetnosti a technické připravenosti. Pravidelné vedení dokumentace, provádění auditů a striktní dodržování norem řady ISO 27000 nejsou pouhou administrativní zátěží, ale strategickou investicí do minimalizace rizik a ochrany hodnoty podniku.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