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c1m0iv5tqw09" w:id="0"/>
      <w:bookmarkEnd w:id="0"/>
      <w:r w:rsidDel="00000000" w:rsidR="00000000" w:rsidRPr="00000000">
        <w:rPr>
          <w:rtl w:val="0"/>
        </w:rPr>
        <w:t xml:space="preserve">Maturitní otázka: Ústavní právo (MO-KB)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m1bsj3anm1ky" w:id="1"/>
      <w:bookmarkEnd w:id="1"/>
      <w:r w:rsidDel="00000000" w:rsidR="00000000" w:rsidRPr="00000000">
        <w:rPr>
          <w:rtl w:val="0"/>
        </w:rPr>
        <w:t xml:space="preserve">1. Úvod do ústavního práva: Pojem a prameny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Ústavní právo</w:t>
      </w:r>
      <w:r w:rsidDel="00000000" w:rsidR="00000000" w:rsidRPr="00000000">
        <w:rPr>
          <w:rtl w:val="0"/>
        </w:rPr>
        <w:t xml:space="preserve">  představuje v hierarchii právního řádu  </w:t>
      </w:r>
      <w:r w:rsidDel="00000000" w:rsidR="00000000" w:rsidRPr="00000000">
        <w:rPr>
          <w:b w:val="1"/>
          <w:bCs w:val="1"/>
          <w:rtl w:val="0"/>
        </w:rPr>
        <w:t xml:space="preserve">lex superior</w:t>
      </w:r>
      <w:r w:rsidDel="00000000" w:rsidR="00000000" w:rsidRPr="00000000">
        <w:rPr>
          <w:rtl w:val="0"/>
        </w:rPr>
        <w:t xml:space="preserve">  – odvětví veřejného práva s nejvyšší právní silou, které konstituuje stát, definuje formu jeho vlády a garantuje fundamentální práva a svobody. Jakožto expertní základ pro ostatní odvětví (včetně práva občanského či trestního) určuje meze státní moci a zajišťuje  </w:t>
      </w:r>
      <w:r w:rsidDel="00000000" w:rsidR="00000000" w:rsidRPr="00000000">
        <w:rPr>
          <w:b w:val="1"/>
          <w:bCs w:val="1"/>
          <w:rtl w:val="0"/>
        </w:rPr>
        <w:t xml:space="preserve">suverenitu</w:t>
      </w:r>
      <w:r w:rsidDel="00000000" w:rsidR="00000000" w:rsidRPr="00000000">
        <w:rPr>
          <w:rtl w:val="0"/>
        </w:rPr>
        <w:t xml:space="preserve">  lidu.Na základě pramenné základny (včetně zdrojů jako  </w:t>
      </w:r>
      <w:r w:rsidDel="00000000" w:rsidR="00000000" w:rsidRPr="00000000">
        <w:rPr>
          <w:i w:val="1"/>
          <w:iCs w:val="1"/>
          <w:rtl w:val="0"/>
        </w:rPr>
        <w:t xml:space="preserve">Občanské právo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i w:val="1"/>
          <w:iCs w:val="1"/>
          <w:rtl w:val="0"/>
        </w:rPr>
        <w:t xml:space="preserve">ISMS</w:t>
      </w:r>
      <w:r w:rsidDel="00000000" w:rsidR="00000000" w:rsidRPr="00000000">
        <w:rPr>
          <w:rtl w:val="0"/>
        </w:rPr>
        <w:t xml:space="preserve"> ) identifikujeme tyto hlavní prameny ústavního pořádku: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Ústava ČR a ústavní zákony:</w:t>
      </w:r>
      <w:r w:rsidDel="00000000" w:rsidR="00000000" w:rsidRPr="00000000">
        <w:rPr>
          <w:rtl w:val="0"/>
        </w:rPr>
        <w:t xml:space="preserve">  Základní zákon státu a normy stejné právní síly.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Listina základních práv a svobod (LZPS):</w:t>
      </w:r>
      <w:r w:rsidDel="00000000" w:rsidR="00000000" w:rsidRPr="00000000">
        <w:rPr>
          <w:rtl w:val="0"/>
        </w:rPr>
        <w:t xml:space="preserve">  Dokument deklarující nezadatelná, nepromlčitelná a nezrušitelná práva, tvořící materiální jádro ústavnosti.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Mezinárodní smlouvy:</w:t>
      </w:r>
      <w:r w:rsidDel="00000000" w:rsidR="00000000" w:rsidRPr="00000000">
        <w:rPr>
          <w:rtl w:val="0"/>
        </w:rPr>
        <w:t xml:space="preserve">  Dle čl. 10 Ústavy mají ratifikované a vyhlášené mezinárodní smlouvy, k jejichž ratifikaci dal Parlament souhlas, přednost před zákonem.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Judikatura Ústavního soudu:</w:t>
      </w:r>
      <w:r w:rsidDel="00000000" w:rsidR="00000000" w:rsidRPr="00000000">
        <w:rPr>
          <w:rtl w:val="0"/>
        </w:rPr>
        <w:t xml:space="preserve">  Zejména  </w:t>
      </w:r>
      <w:r w:rsidDel="00000000" w:rsidR="00000000" w:rsidRPr="00000000">
        <w:rPr>
          <w:b w:val="1"/>
          <w:bCs w:val="1"/>
          <w:rtl w:val="0"/>
        </w:rPr>
        <w:t xml:space="preserve">nálezy Ústavního soudu</w:t>
      </w:r>
      <w:r w:rsidDel="00000000" w:rsidR="00000000" w:rsidRPr="00000000">
        <w:rPr>
          <w:rtl w:val="0"/>
        </w:rPr>
        <w:t xml:space="preserve"> , které mají vliv na výklad ústavních norem a disponují silou negativního zákonodárce (mohou rušit protiústavní zákony).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Občanský zákoník:</w:t>
      </w:r>
      <w:r w:rsidDel="00000000" w:rsidR="00000000" w:rsidRPr="00000000">
        <w:rPr>
          <w:rtl w:val="0"/>
        </w:rPr>
        <w:t xml:space="preserve">  Přestože jde o pramen práva soukromého, jeho ustanovení o  </w:t>
      </w:r>
      <w:r w:rsidDel="00000000" w:rsidR="00000000" w:rsidRPr="00000000">
        <w:rPr>
          <w:b w:val="1"/>
          <w:bCs w:val="1"/>
          <w:rtl w:val="0"/>
        </w:rPr>
        <w:t xml:space="preserve">ochraně osobnosti</w:t>
      </w:r>
      <w:r w:rsidDel="00000000" w:rsidR="00000000" w:rsidRPr="00000000">
        <w:rPr>
          <w:rtl w:val="0"/>
        </w:rPr>
        <w:t xml:space="preserve">  (integrita, soukromí, důstojnost) jsou přímou aplikací ústavních principů v horizontálních vztazích.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r19stv1b31ks" w:id="2"/>
      <w:bookmarkEnd w:id="2"/>
      <w:r w:rsidDel="00000000" w:rsidR="00000000" w:rsidRPr="00000000">
        <w:rPr>
          <w:rtl w:val="0"/>
        </w:rPr>
        <w:t xml:space="preserve">2. Ústava ČR a ústavní zákony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Ústava České republiky je charakteristická svou  </w:t>
      </w:r>
      <w:r w:rsidDel="00000000" w:rsidR="00000000" w:rsidRPr="00000000">
        <w:rPr>
          <w:b w:val="1"/>
          <w:bCs w:val="1"/>
          <w:rtl w:val="0"/>
        </w:rPr>
        <w:t xml:space="preserve">rigiditou</w:t>
      </w:r>
      <w:r w:rsidDel="00000000" w:rsidR="00000000" w:rsidRPr="00000000">
        <w:rPr>
          <w:rtl w:val="0"/>
        </w:rPr>
        <w:t xml:space="preserve">  (tuhostí). Tato vlastnost chrání demokratickou stabilitu státu před účelovými změnami běžnou politickou většinou.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Hierarchické postavení:</w:t>
      </w:r>
      <w:r w:rsidDel="00000000" w:rsidR="00000000" w:rsidRPr="00000000">
        <w:rPr>
          <w:rtl w:val="0"/>
        </w:rPr>
        <w:t xml:space="preserve">  Ústava stojí na vrcholu pyramidy právní síly. Všechny podzákonné předpisy (vyhlášky, nařízení) i běžné zákony musí být v souladu s ústavním pořádkem.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Ústavní rigidita:</w:t>
      </w:r>
      <w:r w:rsidDel="00000000" w:rsidR="00000000" w:rsidRPr="00000000">
        <w:rPr>
          <w:rtl w:val="0"/>
        </w:rPr>
        <w:t xml:space="preserve">  Ke změně či doplnění Ústavy je zapotřebí souhlasu kvalifikované (třípětinové) většiny všech poslanců a třípětinové většiny přítomných senátorů.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Legitimita moci:</w:t>
      </w:r>
      <w:r w:rsidDel="00000000" w:rsidR="00000000" w:rsidRPr="00000000">
        <w:rPr>
          <w:rtl w:val="0"/>
        </w:rPr>
        <w:t xml:space="preserve">  Veškerá státní moc pochází z lidu; Ústava stanoví procesy, jakými je tato moc vykonávána a kontrolována.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wg88qkbjewr8" w:id="3"/>
      <w:bookmarkEnd w:id="3"/>
      <w:r w:rsidDel="00000000" w:rsidR="00000000" w:rsidRPr="00000000">
        <w:rPr>
          <w:rtl w:val="0"/>
        </w:rPr>
        <w:t xml:space="preserve">3. Institucionální pilíře státní moci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Dělba moci v České republice je konstruována na  </w:t>
      </w:r>
      <w:r w:rsidDel="00000000" w:rsidR="00000000" w:rsidRPr="00000000">
        <w:rPr>
          <w:b w:val="1"/>
          <w:bCs w:val="1"/>
          <w:rtl w:val="0"/>
        </w:rPr>
        <w:t xml:space="preserve">principu brzd a rovnováh</w:t>
      </w:r>
      <w:r w:rsidDel="00000000" w:rsidR="00000000" w:rsidRPr="00000000">
        <w:rPr>
          <w:rtl w:val="0"/>
        </w:rPr>
        <w:t xml:space="preserve">  (checks and balances), který brání koncentraci moci v rukou jediného orgánu.</w:t>
      </w:r>
    </w:p>
    <w:p w:rsidR="00000000" w:rsidDel="00000000" w:rsidP="00000000" w:rsidRDefault="00000000" w:rsidRPr="00000000" w14:paraId="00000010">
      <w:pPr>
        <w:pStyle w:val="Heading6"/>
        <w:rPr/>
      </w:pPr>
      <w:bookmarkStart w:colFirst="0" w:colLast="0" w:name="_lhorzih1jc87" w:id="4"/>
      <w:bookmarkEnd w:id="4"/>
      <w:r w:rsidDel="00000000" w:rsidR="00000000" w:rsidRPr="00000000">
        <w:rPr>
          <w:rtl w:val="0"/>
        </w:rPr>
        <w:t xml:space="preserve">Moc zákonodárná (Legislativa)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Náleží  </w:t>
      </w:r>
      <w:r w:rsidDel="00000000" w:rsidR="00000000" w:rsidRPr="00000000">
        <w:rPr>
          <w:b w:val="1"/>
          <w:bCs w:val="1"/>
          <w:rtl w:val="0"/>
        </w:rPr>
        <w:t xml:space="preserve">dvoukomorovému Parlamentu ČR</w:t>
      </w:r>
      <w:r w:rsidDel="00000000" w:rsidR="00000000" w:rsidRPr="00000000">
        <w:rPr>
          <w:rtl w:val="0"/>
        </w:rPr>
        <w:t xml:space="preserve">  (Poslanecká sněmovna a Senát). Jeho primární funkcí je zákonodárná činnost, schvalování státního rozpočtu a kontrolní činnost vůči exekutivě. Parlament má rovněž výlučné právo vyhlásit  </w:t>
      </w:r>
      <w:r w:rsidDel="00000000" w:rsidR="00000000" w:rsidRPr="00000000">
        <w:rPr>
          <w:b w:val="1"/>
          <w:bCs w:val="1"/>
          <w:rtl w:val="0"/>
        </w:rPr>
        <w:t xml:space="preserve">válečný stav</w:t>
      </w:r>
      <w:r w:rsidDel="00000000" w:rsidR="00000000" w:rsidRPr="00000000">
        <w:rPr>
          <w:rtl w:val="0"/>
        </w:rPr>
        <w:t xml:space="preserve">  nebo stav ohrožení státu.</w:t>
      </w:r>
    </w:p>
    <w:p w:rsidR="00000000" w:rsidDel="00000000" w:rsidP="00000000" w:rsidRDefault="00000000" w:rsidRPr="00000000" w14:paraId="00000012">
      <w:pPr>
        <w:pStyle w:val="Heading6"/>
        <w:rPr/>
      </w:pPr>
      <w:bookmarkStart w:colFirst="0" w:colLast="0" w:name="_7z4o4al3apws" w:id="5"/>
      <w:bookmarkEnd w:id="5"/>
      <w:r w:rsidDel="00000000" w:rsidR="00000000" w:rsidRPr="00000000">
        <w:rPr>
          <w:rtl w:val="0"/>
        </w:rPr>
        <w:t xml:space="preserve">Moc výkonná (Exekutiva)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Je tvořena  </w:t>
      </w:r>
      <w:r w:rsidDel="00000000" w:rsidR="00000000" w:rsidRPr="00000000">
        <w:rPr>
          <w:b w:val="1"/>
          <w:bCs w:val="1"/>
          <w:rtl w:val="0"/>
        </w:rPr>
        <w:t xml:space="preserve">vládou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prezidentem republiky</w:t>
      </w:r>
      <w:r w:rsidDel="00000000" w:rsidR="00000000" w:rsidRPr="00000000">
        <w:rPr>
          <w:rtl w:val="0"/>
        </w:rPr>
        <w:t xml:space="preserve"> . Vláda je vrcholným orgánem výkonné moci, rozhoduje ve sboru a je politicky odpovědná Poslanecké sněmovně. Prezident, jako hlava státu, disponuje specifickými pravomocemi (např. jmenování soudců, veto zákonů) a reprezentuje stát navenek.</w:t>
      </w:r>
    </w:p>
    <w:p w:rsidR="00000000" w:rsidDel="00000000" w:rsidP="00000000" w:rsidRDefault="00000000" w:rsidRPr="00000000" w14:paraId="00000014">
      <w:pPr>
        <w:pStyle w:val="Heading6"/>
        <w:rPr/>
      </w:pPr>
      <w:bookmarkStart w:colFirst="0" w:colLast="0" w:name="_excbp0ca0dky" w:id="6"/>
      <w:bookmarkEnd w:id="6"/>
      <w:r w:rsidDel="00000000" w:rsidR="00000000" w:rsidRPr="00000000">
        <w:rPr>
          <w:rtl w:val="0"/>
        </w:rPr>
        <w:t xml:space="preserve">Moc soudní (Judikativa)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Je vykonávána nezávislými soudy. Klíčovým pilířem ochrany ústavnosti je  </w:t>
      </w:r>
      <w:r w:rsidDel="00000000" w:rsidR="00000000" w:rsidRPr="00000000">
        <w:rPr>
          <w:b w:val="1"/>
          <w:bCs w:val="1"/>
          <w:rtl w:val="0"/>
        </w:rPr>
        <w:t xml:space="preserve">Ústavní soud</w:t>
      </w:r>
      <w:r w:rsidDel="00000000" w:rsidR="00000000" w:rsidRPr="00000000">
        <w:rPr>
          <w:rtl w:val="0"/>
        </w:rPr>
        <w:t xml:space="preserve"> , který je soudním orgánem ochrany ústavnosti. Jeho zásadní pedagogický význam spočívá v pravomoci  </w:t>
      </w:r>
      <w:r w:rsidDel="00000000" w:rsidR="00000000" w:rsidRPr="00000000">
        <w:rPr>
          <w:b w:val="1"/>
          <w:bCs w:val="1"/>
          <w:rtl w:val="0"/>
        </w:rPr>
        <w:t xml:space="preserve">rušit zákony</w:t>
      </w:r>
      <w:r w:rsidDel="00000000" w:rsidR="00000000" w:rsidRPr="00000000">
        <w:rPr>
          <w:rtl w:val="0"/>
        </w:rPr>
        <w:t xml:space="preserve">  nebo jejich části, pokud kolidují s ústavním pořádkem, čímž koriguje rozhodnutí zákonodárce.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fd0zqc4sf8aw" w:id="7"/>
      <w:bookmarkEnd w:id="7"/>
      <w:r w:rsidDel="00000000" w:rsidR="00000000" w:rsidRPr="00000000">
        <w:rPr>
          <w:rtl w:val="0"/>
        </w:rPr>
        <w:t xml:space="preserve">4. Územní samospráva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Ústavní zřízení ČR garantuje právo na územní samosprávu jako projev demokratického státu. Území se člení na obce a kraje.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Samostatná působnost:</w:t>
      </w:r>
      <w:r w:rsidDel="00000000" w:rsidR="00000000" w:rsidRPr="00000000">
        <w:rPr>
          <w:rtl w:val="0"/>
        </w:rPr>
        <w:t xml:space="preserve">  Správa vlastních věcí (např. hospodaření s majetkem, vydávání obecně závazných vyhlášek). Zde obec/kraj vystupuje jako svébytná korporace.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Přenesená působnost:</w:t>
      </w:r>
      <w:r w:rsidDel="00000000" w:rsidR="00000000" w:rsidRPr="00000000">
        <w:rPr>
          <w:rtl w:val="0"/>
        </w:rPr>
        <w:t xml:space="preserve">  Výkon státní správy, který stát delegoval na samosprávu (např. stavební řízení).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Portál občana:</w:t>
      </w:r>
      <w:r w:rsidDel="00000000" w:rsidR="00000000" w:rsidRPr="00000000">
        <w:rPr>
          <w:rtl w:val="0"/>
        </w:rPr>
        <w:t xml:space="preserve">  Moderní digitální rozhraní, které umožňuje občanům efektivně uplatňovat svá práva vůči samosprávným i státním orgánům (nahlížení do registrů, podání žádostí) v souladu s principem dobré správy.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qoiyey8bsz42" w:id="8"/>
      <w:bookmarkEnd w:id="8"/>
      <w:r w:rsidDel="00000000" w:rsidR="00000000" w:rsidRPr="00000000">
        <w:rPr>
          <w:rtl w:val="0"/>
        </w:rPr>
        <w:t xml:space="preserve">5. Listina základních práv a svobod (LZPS) a vazba na kybernetickou bezpečnost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Právní souvislost pro studenty IT:</w:t>
      </w:r>
      <w:r w:rsidDel="00000000" w:rsidR="00000000" w:rsidRPr="00000000">
        <w:rPr>
          <w:rtl w:val="0"/>
        </w:rPr>
        <w:t xml:space="preserve">  Z pohledu experta na bezpečnost je LZPS legislativním vrcholem, z něhož vyvěrají požadavky na ochranu dat. Porušení  </w:t>
      </w:r>
      <w:r w:rsidDel="00000000" w:rsidR="00000000" w:rsidRPr="00000000">
        <w:rPr>
          <w:b w:val="1"/>
          <w:bCs w:val="1"/>
          <w:rtl w:val="0"/>
        </w:rPr>
        <w:t xml:space="preserve">integrity dat</w:t>
      </w:r>
      <w:r w:rsidDel="00000000" w:rsidR="00000000" w:rsidRPr="00000000">
        <w:rPr>
          <w:rtl w:val="0"/>
        </w:rPr>
        <w:t xml:space="preserve">  nebo  </w:t>
      </w:r>
      <w:r w:rsidDel="00000000" w:rsidR="00000000" w:rsidRPr="00000000">
        <w:rPr>
          <w:b w:val="1"/>
          <w:bCs w:val="1"/>
          <w:rtl w:val="0"/>
        </w:rPr>
        <w:t xml:space="preserve">důvěrnosti informací</w:t>
      </w:r>
      <w:r w:rsidDel="00000000" w:rsidR="00000000" w:rsidRPr="00000000">
        <w:rPr>
          <w:rtl w:val="0"/>
        </w:rPr>
        <w:t xml:space="preserve">  není pouze technickým selháním, ale přímým zásahem do ústavně zaručených práv na soukromí a lidskou důstojnost.| Ústavní článek / Právo (LZPS &amp; Obč. právo) | Cíl informační bezpečnosti (CIA Triad - ISO 27001) | Implementace v ISMS (Technicko-legislativní rámec) || ------ | ------ | ------ || </w:t>
      </w:r>
      <w:r w:rsidDel="00000000" w:rsidR="00000000" w:rsidRPr="00000000">
        <w:rPr>
          <w:b w:val="1"/>
          <w:bCs w:val="1"/>
          <w:rtl w:val="0"/>
        </w:rPr>
        <w:t xml:space="preserve">Nedotknutelnost soukromí a integrity</w:t>
      </w:r>
      <w:r w:rsidDel="00000000" w:rsidR="00000000" w:rsidRPr="00000000">
        <w:rPr>
          <w:rtl w:val="0"/>
        </w:rPr>
        <w:t xml:space="preserve">  (Ochrana tělesné i duševní integrity) | </w:t>
      </w:r>
      <w:r w:rsidDel="00000000" w:rsidR="00000000" w:rsidRPr="00000000">
        <w:rPr>
          <w:b w:val="1"/>
          <w:bCs w:val="1"/>
          <w:rtl w:val="0"/>
        </w:rPr>
        <w:t xml:space="preserve">Důvěrnost</w:t>
      </w:r>
      <w:r w:rsidDel="00000000" w:rsidR="00000000" w:rsidRPr="00000000">
        <w:rPr>
          <w:rtl w:val="0"/>
        </w:rPr>
        <w:t xml:space="preserve">  (Confidentiality) | </w:t>
      </w:r>
      <w:r w:rsidDel="00000000" w:rsidR="00000000" w:rsidRPr="00000000">
        <w:rPr>
          <w:b w:val="1"/>
          <w:bCs w:val="1"/>
          <w:rtl w:val="0"/>
        </w:rPr>
        <w:t xml:space="preserve">GDPR &amp; Řízení aktiv:</w:t>
      </w:r>
      <w:r w:rsidDel="00000000" w:rsidR="00000000" w:rsidRPr="00000000">
        <w:rPr>
          <w:rtl w:val="0"/>
        </w:rPr>
        <w:t xml:space="preserve">  Zajištění, že k osobním údajům a datům mají přístup pouze oprávněné osoby. || </w:t>
      </w:r>
      <w:r w:rsidDel="00000000" w:rsidR="00000000" w:rsidRPr="00000000">
        <w:rPr>
          <w:b w:val="1"/>
          <w:bCs w:val="1"/>
          <w:rtl w:val="0"/>
        </w:rPr>
        <w:t xml:space="preserve">Ochrana podoby a soukromí</w:t>
      </w:r>
      <w:r w:rsidDel="00000000" w:rsidR="00000000" w:rsidRPr="00000000">
        <w:rPr>
          <w:rtl w:val="0"/>
        </w:rPr>
        <w:t xml:space="preserve">  (Zákaz sledování a zveřejňování bez souhlasu) | </w:t>
      </w:r>
      <w:r w:rsidDel="00000000" w:rsidR="00000000" w:rsidRPr="00000000">
        <w:rPr>
          <w:b w:val="1"/>
          <w:bCs w:val="1"/>
          <w:rtl w:val="0"/>
        </w:rPr>
        <w:t xml:space="preserve">Důvěrnost &amp; Dostupnost</w:t>
      </w:r>
      <w:r w:rsidDel="00000000" w:rsidR="00000000" w:rsidRPr="00000000">
        <w:rPr>
          <w:rtl w:val="0"/>
        </w:rPr>
        <w:t xml:space="preserve">  (Availability) | </w:t>
      </w:r>
      <w:r w:rsidDel="00000000" w:rsidR="00000000" w:rsidRPr="00000000">
        <w:rPr>
          <w:b w:val="1"/>
          <w:bCs w:val="1"/>
          <w:rtl w:val="0"/>
        </w:rPr>
        <w:t xml:space="preserve">Výběr bezpečnostních opatření:</w:t>
      </w:r>
      <w:r w:rsidDel="00000000" w:rsidR="00000000" w:rsidRPr="00000000">
        <w:rPr>
          <w:rtl w:val="0"/>
        </w:rPr>
        <w:t xml:space="preserve">  Technická opatření (šifrování, přístupové systémy) bránící úniku dat a neoprávněnému monitorování. || </w:t>
      </w:r>
      <w:r w:rsidDel="00000000" w:rsidR="00000000" w:rsidRPr="00000000">
        <w:rPr>
          <w:b w:val="1"/>
          <w:bCs w:val="1"/>
          <w:rtl w:val="0"/>
        </w:rPr>
        <w:t xml:space="preserve">Právo na jméno a důstojnost</w:t>
      </w:r>
      <w:r w:rsidDel="00000000" w:rsidR="00000000" w:rsidRPr="00000000">
        <w:rPr>
          <w:rtl w:val="0"/>
        </w:rPr>
        <w:t xml:space="preserve">  (Ochrana osobnosti před zneužitím) | </w:t>
      </w:r>
      <w:r w:rsidDel="00000000" w:rsidR="00000000" w:rsidRPr="00000000">
        <w:rPr>
          <w:b w:val="1"/>
          <w:bCs w:val="1"/>
          <w:rtl w:val="0"/>
        </w:rPr>
        <w:t xml:space="preserve">Integrita</w:t>
      </w:r>
      <w:r w:rsidDel="00000000" w:rsidR="00000000" w:rsidRPr="00000000">
        <w:rPr>
          <w:rtl w:val="0"/>
        </w:rPr>
        <w:t xml:space="preserve">  (Integrity) | </w:t>
      </w:r>
      <w:r w:rsidDel="00000000" w:rsidR="00000000" w:rsidRPr="00000000">
        <w:rPr>
          <w:b w:val="1"/>
          <w:bCs w:val="1"/>
          <w:rtl w:val="0"/>
        </w:rPr>
        <w:t xml:space="preserve">PDCA Cyklus:</w:t>
      </w:r>
      <w:r w:rsidDel="00000000" w:rsidR="00000000" w:rsidRPr="00000000">
        <w:rPr>
          <w:rtl w:val="0"/>
        </w:rPr>
        <w:t xml:space="preserve">  Neustálé zlepšování ochrany proti neoprávněným změnám dat, které by mohly poškodit pověst subjektu.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Pro-tip:</w:t>
      </w:r>
      <w:r w:rsidDel="00000000" w:rsidR="00000000" w:rsidRPr="00000000">
        <w:rPr>
          <w:rtl w:val="0"/>
        </w:rPr>
        <w:t xml:space="preserve">  Systém řízení informační bezpečnosti ( </w:t>
      </w:r>
      <w:r w:rsidDel="00000000" w:rsidR="00000000" w:rsidRPr="00000000">
        <w:rPr>
          <w:b w:val="1"/>
          <w:bCs w:val="1"/>
          <w:rtl w:val="0"/>
        </w:rPr>
        <w:t xml:space="preserve">ISMS</w:t>
      </w:r>
      <w:r w:rsidDel="00000000" w:rsidR="00000000" w:rsidRPr="00000000">
        <w:rPr>
          <w:rtl w:val="0"/>
        </w:rPr>
        <w:t xml:space="preserve"> ) dle normy  </w:t>
      </w:r>
      <w:r w:rsidDel="00000000" w:rsidR="00000000" w:rsidRPr="00000000">
        <w:rPr>
          <w:b w:val="1"/>
          <w:bCs w:val="1"/>
          <w:rtl w:val="0"/>
        </w:rPr>
        <w:t xml:space="preserve">ČSN EN ISO/IEC 27001:2023</w:t>
      </w:r>
      <w:r w:rsidDel="00000000" w:rsidR="00000000" w:rsidRPr="00000000">
        <w:rPr>
          <w:rtl w:val="0"/>
        </w:rPr>
        <w:t xml:space="preserve">  transformuje tyto obecné ústavní principy do konkrétních procesů  </w:t>
      </w:r>
      <w:r w:rsidDel="00000000" w:rsidR="00000000" w:rsidRPr="00000000">
        <w:rPr>
          <w:b w:val="1"/>
          <w:bCs w:val="1"/>
          <w:rtl w:val="0"/>
        </w:rPr>
        <w:t xml:space="preserve">řízení rizik</w:t>
      </w:r>
      <w:r w:rsidDel="00000000" w:rsidR="00000000" w:rsidRPr="00000000">
        <w:rPr>
          <w:rtl w:val="0"/>
        </w:rPr>
        <w:t xml:space="preserve">  a správy  </w:t>
      </w:r>
      <w:r w:rsidDel="00000000" w:rsidR="00000000" w:rsidRPr="00000000">
        <w:rPr>
          <w:b w:val="1"/>
          <w:bCs w:val="1"/>
          <w:rtl w:val="0"/>
        </w:rPr>
        <w:t xml:space="preserve">informačních aktiv</w:t>
      </w:r>
      <w:r w:rsidDel="00000000" w:rsidR="00000000" w:rsidRPr="00000000">
        <w:rPr>
          <w:rtl w:val="0"/>
        </w:rPr>
        <w:t xml:space="preserve">  (Data, SW, HW, Služby).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mamqz241eci" w:id="9"/>
      <w:bookmarkEnd w:id="9"/>
      <w:r w:rsidDel="00000000" w:rsidR="00000000" w:rsidRPr="00000000">
        <w:rPr>
          <w:rtl w:val="0"/>
        </w:rPr>
        <w:t xml:space="preserve">6. Krizové stavy v České republice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i w:val="1"/>
          <w:iCs w:val="1"/>
          <w:rtl w:val="0"/>
        </w:rPr>
        <w:t xml:space="preserve">Právní poznámka k pramenům: Jelikož dodaný kontext zmiňuje krizové řízení (BCDR) pouze jako téma (KB4_TZOP-I.pdf), jsou podrobné parametry níže uvedeny na základě standardní české legislativy pro potřeby maturitní zkoušky.</w:t>
      </w:r>
      <w:r w:rsidDel="00000000" w:rsidR="00000000" w:rsidRPr="00000000">
        <w:rPr>
          <w:rtl w:val="0"/>
        </w:rPr>
        <w:t xml:space="preserve">Krizové stavy představují zákonný rámec pro omezení určitých práv za účelem odvrácení mimořádných hrozeb.| Krizový stav | Důvod vyhlášení | Vyhlašovatel | Územní rozsah | Max. doba trvání || ------ 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Stav nebezpečí</w:t>
      </w:r>
      <w:r w:rsidDel="00000000" w:rsidR="00000000" w:rsidRPr="00000000">
        <w:rPr>
          <w:rtl w:val="0"/>
        </w:rPr>
        <w:t xml:space="preserve"> | Ohrožení životů, zdraví či majetku nižší intenzity. | Hejtman kraje (Primátor Prahy). | Celý kraj nebo část. | 30 dnů (prodloužení vládou). || </w:t>
      </w:r>
      <w:r w:rsidDel="00000000" w:rsidR="00000000" w:rsidRPr="00000000">
        <w:rPr>
          <w:b w:val="1"/>
          <w:bCs w:val="1"/>
          <w:rtl w:val="0"/>
        </w:rPr>
        <w:t xml:space="preserve">Nouzový stav</w:t>
      </w:r>
      <w:r w:rsidDel="00000000" w:rsidR="00000000" w:rsidRPr="00000000">
        <w:rPr>
          <w:rtl w:val="0"/>
        </w:rPr>
        <w:t xml:space="preserve"> | Živelní pohromy, katastrofy, ohrožení vnitřní bezpečnosti. | Vláda ČR (při nebezpečí z prodlení premiér). | Celý stát nebo část. | 30 dnů (prodloužení se souhlasem PS). || </w:t>
      </w:r>
      <w:r w:rsidDel="00000000" w:rsidR="00000000" w:rsidRPr="00000000">
        <w:rPr>
          <w:b w:val="1"/>
          <w:bCs w:val="1"/>
          <w:rtl w:val="0"/>
        </w:rPr>
        <w:t xml:space="preserve">Stav ohrožení státu</w:t>
      </w:r>
      <w:r w:rsidDel="00000000" w:rsidR="00000000" w:rsidRPr="00000000">
        <w:rPr>
          <w:rtl w:val="0"/>
        </w:rPr>
        <w:t xml:space="preserve"> | Bezprostřední ohrožení svrchovanosti nebo demokratických základů. | Parlament ČR na návrh vlády. | Celý stát nebo část. | Na nezbytně nutnou dobu. || </w:t>
      </w:r>
      <w:r w:rsidDel="00000000" w:rsidR="00000000" w:rsidRPr="00000000">
        <w:rPr>
          <w:b w:val="1"/>
          <w:bCs w:val="1"/>
          <w:rtl w:val="0"/>
        </w:rPr>
        <w:t xml:space="preserve">Válečný stav</w:t>
      </w:r>
      <w:r w:rsidDel="00000000" w:rsidR="00000000" w:rsidRPr="00000000">
        <w:rPr>
          <w:rtl w:val="0"/>
        </w:rPr>
        <w:t xml:space="preserve"> | Napadení státu nebo plnění spojeneckých závazků. | Parlament ČR. | Celý stát. | Na nezbytně nutnou dobu. |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6gcz4au1qk21" w:id="10"/>
      <w:bookmarkEnd w:id="10"/>
      <w:r w:rsidDel="00000000" w:rsidR="00000000" w:rsidRPr="00000000">
        <w:rPr>
          <w:rtl w:val="0"/>
        </w:rPr>
        <w:t xml:space="preserve">7. Orgány krizového řízení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Soustava orgánů zajišťujících stabilitu státu v krizových situacích (v rámci BCDR – Business Continuity and Disaster Recovery):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Vláda ČR:</w:t>
      </w:r>
      <w:r w:rsidDel="00000000" w:rsidR="00000000" w:rsidRPr="00000000">
        <w:rPr>
          <w:rtl w:val="0"/>
        </w:rPr>
        <w:t xml:space="preserve">  Vrcholný orgán s pravomocí vyhlašovat krizová opatření a omezovat základní práva v mezích zákona.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Bezpečnostní rada státu:</w:t>
      </w:r>
      <w:r w:rsidDel="00000000" w:rsidR="00000000" w:rsidRPr="00000000">
        <w:rPr>
          <w:rtl w:val="0"/>
        </w:rPr>
        <w:t xml:space="preserve">  Poradní orgán vlády pro strategické otázky bezpečnosti a přípravu krizových scénářů.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Ministerstva:</w:t>
      </w:r>
      <w:r w:rsidDel="00000000" w:rsidR="00000000" w:rsidRPr="00000000">
        <w:rPr>
          <w:rtl w:val="0"/>
        </w:rPr>
        <w:t xml:space="preserve">  Zajišťují resortní připravenost (např. Ministerstvo vnitra pro bezpečnost, Ministerstvo zdravotnictví pro epidemie).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Bezpečnostní rady a krizové štáby krajů/obcí:</w:t>
      </w:r>
      <w:r w:rsidDel="00000000" w:rsidR="00000000" w:rsidRPr="00000000">
        <w:rPr>
          <w:rtl w:val="0"/>
        </w:rPr>
        <w:t xml:space="preserve">  Pracovní a koordinační orgány pro operativní řešení krizí na regionální a lokální úrovni.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Starostové a hejtmani:</w:t>
      </w:r>
      <w:r w:rsidDel="00000000" w:rsidR="00000000" w:rsidRPr="00000000">
        <w:rPr>
          <w:rtl w:val="0"/>
        </w:rPr>
        <w:t xml:space="preserve">  Odpovídají za připravenost a řešení krizových situací v rámci svého správního obvodu.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