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https://zvuchi-vocal.ru/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https://zvuchi-vocal.ru/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https://zvuchi-vocal.ru/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Казанцев Геннадий Викторович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770600435102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325774600433742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+7 985 126-66-05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kazantsevgennadiy@gmail.com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