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igtree-bold.ttf" ContentType="application/x-font-ttf"/>
  <Override PartName="/word/fonts/Figtree-boldItalic.ttf" ContentType="application/x-font-ttf"/>
  <Override PartName="/word/fonts/Figtree-italic.ttf" ContentType="application/x-font-ttf"/>
  <Override PartName="/word/fonts/Figtree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rPr>
          <w:rFonts w:ascii="Figtree" w:cs="Figtree" w:eastAsia="Figtree" w:hAnsi="Figtree"/>
          <w:color w:val="000000"/>
          <w:sz w:val="22"/>
          <w:szCs w:val="22"/>
        </w:rPr>
      </w:pPr>
      <w:r w:rsidDel="00000000" w:rsidR="00000000" w:rsidRPr="00000000">
        <w:rPr>
          <w:rFonts w:ascii="Figtree" w:cs="Figtree" w:eastAsia="Figtree" w:hAnsi="Figtree"/>
          <w:sz w:val="22"/>
          <w:szCs w:val="22"/>
          <w:rtl w:val="0"/>
        </w:rPr>
        <w:t xml:space="preserve">    </w:t>
      </w:r>
      <w:r w:rsidDel="00000000" w:rsidR="00000000" w:rsidRPr="00000000">
        <w:rPr>
          <w:rtl w:val="0"/>
        </w:rPr>
      </w:r>
    </w:p>
    <w:tbl>
      <w:tblPr>
        <w:tblStyle w:val="Table1"/>
        <w:tblW w:w="9109.0" w:type="dxa"/>
        <w:jc w:val="center"/>
        <w:tblLayout w:type="fixed"/>
        <w:tblLook w:val="0400"/>
      </w:tblPr>
      <w:tblGrid>
        <w:gridCol w:w="429"/>
        <w:gridCol w:w="16"/>
        <w:gridCol w:w="8"/>
        <w:gridCol w:w="8632"/>
        <w:gridCol w:w="24"/>
        <w:tblGridChange w:id="0">
          <w:tblGrid>
            <w:gridCol w:w="429"/>
            <w:gridCol w:w="16"/>
            <w:gridCol w:w="8"/>
            <w:gridCol w:w="8632"/>
            <w:gridCol w:w="24"/>
          </w:tblGrid>
        </w:tblGridChange>
      </w:tblGrid>
      <w:tr>
        <w:trPr>
          <w:cantSplit w:val="0"/>
          <w:trHeight w:val="564" w:hRule="atLeast"/>
          <w:tblHeader w:val="0"/>
        </w:trPr>
        <w:tc>
          <w:tcPr>
            <w:gridSpan w:val="5"/>
            <w:tcBorders>
              <w:top w:color="000000" w:space="0" w:sz="0" w:val="nil"/>
              <w:left w:color="ffffff" w:space="0" w:sz="4" w:val="single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2">
            <w:pPr>
              <w:rPr>
                <w:rFonts w:ascii="Figtree" w:cs="Figtree" w:eastAsia="Figtree" w:hAnsi="Figtree"/>
                <w:b w:val="1"/>
                <w:bCs w:val="1"/>
                <w:color w:val="ffffff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u w:val="single"/>
                <w:rtl w:val="0"/>
              </w:rPr>
              <w:t xml:space="preserve">CURRICULUM VITAE (CV) TEMPLATE FOR PROPOSED PERSONNEL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9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Proposed Position:  Technology Lead — Web Systems &amp; Data Platforms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B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F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1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Name of Firm:  Post 205, Inc. (POST205)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5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413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9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Name of Staff:  Kristoffer Ross C. Lorenzana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C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Education:</w:t>
            </w:r>
          </w:p>
          <w:p>
            <w:r>
              <w:rPr>
                <w:b w:val="0"/>
                <w:sz w:val="20"/>
              </w:rPr>
              <w:t>Bachelor of Fine Arts, Major in Visual Communication,</w:t>
            </w:r>
          </w:p>
          <w:p>
            <w:r>
              <w:rPr>
                <w:b w:val="0"/>
                <w:sz w:val="20"/>
              </w:rPr>
              <w:t>University of the Philippines Diliman, Philippines                                                    2008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8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Certificate in Fine Arts, Major in Visual Communication,</w:t>
            </w:r>
          </w:p>
          <w:p>
            <w:r>
              <w:rPr>
                <w:b w:val="0"/>
                <w:sz w:val="20"/>
              </w:rPr>
              <w:t>University of the Philippines Diliman, Philippines                                                    2007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Ateneo de Manila High School, Philippines (graduated with honors)                          2001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D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F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Membership of Professional Associations:</w:t>
            </w:r>
          </w:p>
          <w:p>
            <w:r>
              <w:rPr>
                <w:b w:val="0"/>
                <w:sz w:val="20"/>
              </w:rPr>
              <w:t>BNI (Business Network International), Philippines — member since 2018; Vice President and Membership Committee Chair, 2025; multiple chapter leadership positions over eight consecutive years.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1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5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Other Training [Indicate significant training since degrees under 5 - Education were obtained]:</w:t>
            </w:r>
          </w:p>
          <w:p>
            <w:r>
              <w:rPr>
                <w:b w:val="0"/>
                <w:sz w:val="20"/>
              </w:rPr>
              <w:t>•  Apprenticeship in commercial and film production under director Lyle Sacris, Furball, Inc., 2007</w:t>
            </w:r>
          </w:p>
          <w:p>
            <w:r>
              <w:rPr>
                <w:b w:val="0"/>
                <w:sz w:val="20"/>
              </w:rPr>
              <w:t>•  Guest Speaker on Digital Marketing, University of Santo Tomas, College of Commerce and Business Administration (Marketing Confluence), 2016</w:t>
            </w:r>
          </w:p>
          <w:p>
            <w:r>
              <w:rPr>
                <w:b w:val="0"/>
                <w:sz w:val="20"/>
              </w:rPr>
              <w:t>•  Continuing professional practice in full-stack web systems: PostgreSQL/PostGIS (Supabase), serverless architecture and deployment (Netlify), payment-systems integration (Xendit), transactional email systems (Resend), and AI-assisted software development, 2015–present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F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1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3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Countries of Work Experience:</w:t>
            </w:r>
          </w:p>
          <w:p>
            <w:r>
              <w:rPr>
                <w:b w:val="0"/>
                <w:sz w:val="20"/>
              </w:rPr>
              <w:t>Philippines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8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A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C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Languages:</w:t>
            </w:r>
          </w:p>
          <w:p>
            <w:r>
              <w:rPr>
                <w:b w:val="0"/>
                <w:sz w:val="20"/>
              </w:rPr>
              <w:t>Filipino — Read, Write, Speak</w:t>
            </w:r>
          </w:p>
          <w:p>
            <w:r>
              <w:rPr>
                <w:b w:val="0"/>
                <w:sz w:val="20"/>
              </w:rPr>
              <w:t>English — Read, Write, Speak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7085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982"/>
              <w:gridCol w:w="5103"/>
              <w:tblGridChange w:id="0">
                <w:tblGrid>
                  <w:gridCol w:w="1982"/>
                  <w:gridCol w:w="5103"/>
                </w:tblGrid>
              </w:tblGridChange>
            </w:tblGrid>
            <w:tr>
              <w:trPr>
                <w:cantSplit w:val="0"/>
                <w:trHeight w:val="208" w:hRule="atLeast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1">
                  <w:pP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color w:val="000000"/>
                      <w:sz w:val="20"/>
                      <w:szCs w:val="20"/>
                      <w:rtl w:val="0"/>
                    </w:rPr>
                    <w:t xml:space="preserve"> </w:t>
                  </w: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XXXXXX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2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Read, Write, Speak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3">
                  <w:pP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XXXXXX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4">
                  <w:pPr>
                    <w:widowControl w:val="0"/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Read, Write, Speak</w:t>
                  </w:r>
                </w:p>
              </w:tc>
            </w:tr>
          </w:tbl>
          <w:p w:rsidR="00000000" w:rsidDel="00000000" w:rsidP="00000000" w:rsidRDefault="00000000" w:rsidRPr="00000000" w14:paraId="00000055">
            <w:pPr>
              <w:rPr>
                <w:rFonts w:ascii="Figtree" w:cs="Figtree" w:eastAsia="Figtree" w:hAnsi="Figtree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A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Employment Record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9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F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January 2015 – Present</w:t>
            </w:r>
          </w:p>
          <w:p>
            <w:r>
              <w:rPr>
                <w:b w:val="0"/>
                <w:sz w:val="20"/>
              </w:rPr>
              <w:t>Employer:  Post 205, Inc. (POST205), Metro Manila, Philippines</w:t>
            </w:r>
          </w:p>
          <w:p>
            <w:r>
              <w:rPr>
                <w:b w:val="0"/>
                <w:sz w:val="20"/>
              </w:rPr>
              <w:t>Positions held:  Founder &amp; Managing Director; President (custom web systems, back-office platforms, and payment/compliance systems for Philippine businesses)</w:t>
            </w:r>
          </w:p>
        </w:tc>
      </w:tr>
      <w:tr>
        <w:trPr>
          <w:cantSplit w:val="0"/>
          <w:trHeight w:val="743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5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June 2014 – June 2015</w:t>
            </w:r>
          </w:p>
          <w:p>
            <w:r>
              <w:rPr>
                <w:b w:val="0"/>
                <w:sz w:val="20"/>
              </w:rPr>
              <w:t>Employer:  Raffles Design Institute, Manila</w:t>
            </w:r>
          </w:p>
          <w:p>
            <w:r>
              <w:rPr>
                <w:b w:val="0"/>
                <w:sz w:val="20"/>
              </w:rPr>
              <w:t>Positions held:  Adjunct Instructor, Web Design &amp; Development (Fashion Marketing &amp; Management Department)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9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B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October 2012 – May 2014</w:t>
            </w:r>
          </w:p>
          <w:p>
            <w:r>
              <w:rPr>
                <w:b w:val="0"/>
                <w:sz w:val="20"/>
              </w:rPr>
              <w:t>Employer:  Deal Dozen Philippines (group-buying platform; acquired by Streetdeal.ph, 2015)</w:t>
            </w:r>
          </w:p>
          <w:p>
            <w:r>
              <w:rPr>
                <w:b w:val="0"/>
                <w:sz w:val="20"/>
              </w:rPr>
              <w:t>Positions held:  Sales &amp; External Relations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F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1">
            <w:pPr>
              <w:rPr>
                <w:rFonts w:ascii="Figtree" w:cs="Figtree" w:eastAsia="Figtree" w:hAnsi="Figtree"/>
                <w:b w:val="1"/>
                <w:bCs w:val="1"/>
                <w:i w:val="1"/>
                <w:i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October 2011 – October 2012</w:t>
            </w:r>
          </w:p>
          <w:p>
            <w:r>
              <w:rPr>
                <w:b w:val="0"/>
                <w:sz w:val="20"/>
              </w:rPr>
              <w:t>Employer:  FourPoint.Zero, Inc. (app development — Sitezapp.com, Yunnoh.com)</w:t>
            </w:r>
          </w:p>
          <w:p>
            <w:r>
              <w:rPr>
                <w:b w:val="0"/>
                <w:sz w:val="20"/>
              </w:rPr>
              <w:t>Positions held:  Chief Marketing Officer; Creative Supervisor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From: August 2008 – March 2010</w:t>
            </w:r>
          </w:p>
          <w:p>
            <w:r>
              <w:rPr>
                <w:b w:val="0"/>
                <w:sz w:val="20"/>
              </w:rPr>
              <w:t>Employer:  On Duty Media Co. (graphics &amp; web solutions)</w:t>
            </w:r>
          </w:p>
          <w:p>
            <w:r>
              <w:rPr>
                <w:b w:val="0"/>
                <w:sz w:val="20"/>
              </w:rPr>
              <w:t>Positions held:  Co-Founder &amp; Creative Director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From: May 2007 – June 2007</w:t>
            </w:r>
          </w:p>
          <w:p>
            <w:r>
              <w:rPr>
                <w:b w:val="0"/>
                <w:sz w:val="20"/>
              </w:rPr>
              <w:t>Employer:  Furball, Inc.</w:t>
            </w:r>
          </w:p>
          <w:p>
            <w:r>
              <w:rPr>
                <w:b w:val="0"/>
                <w:sz w:val="20"/>
              </w:rPr>
              <w:t>Positions held:  Production Apprentice under commercial &amp; film director Lyle Sacris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5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73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9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C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Work Undertaken that Best Illustrates Capability to Handle the Tasks Assigned</w:t>
            </w:r>
          </w:p>
        </w:tc>
      </w:tr>
      <w:tr>
        <w:trPr>
          <w:cantSplit w:val="0"/>
          <w:trHeight w:val="52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[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Among the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assignments in which the staff has been involved, indicate the following information for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those assignments that best illustrate staff capability to fulfill the requirements specified in this tender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]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82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restart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3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Nature-based data demonstration platform — C40 “Creating a Baseline for Nature-based Data in Quezon City” proposal</w:t>
            </w:r>
          </w:p>
          <w:p>
            <w:r>
              <w:rPr>
                <w:b w:val="0"/>
                <w:sz w:val="20"/>
              </w:rPr>
              <w:t>Year:  2026</w:t>
            </w:r>
          </w:p>
          <w:p>
            <w:r>
              <w:rPr>
                <w:b w:val="0"/>
                <w:sz w:val="20"/>
              </w:rPr>
              <w:t>Location:  Quezon City, Philippines</w:t>
            </w:r>
          </w:p>
          <w:p>
            <w:r>
              <w:rPr>
                <w:b w:val="0"/>
                <w:sz w:val="20"/>
              </w:rPr>
              <w:t>Client:  Consortium proposal (with lead environmental planning firm)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Interactive 3D city map (vector tiles, building extrusion, pitched camera) presenting nature-based data layers</w:t>
            </w:r>
          </w:p>
          <w:p>
            <w:r>
              <w:rPr>
                <w:b w:val="0"/>
                <w:sz w:val="20"/>
              </w:rPr>
              <w:t>•  Dashboard views over a geospatial data store (PostgreSQL/PostGIS), with a QGIS/ArcGIS–to–GeoJSON file-update path for post-project maintenance</w:t>
            </w:r>
          </w:p>
          <w:p>
            <w:r>
              <w:rPr>
                <w:b w:val="0"/>
                <w:sz w:val="20"/>
              </w:rPr>
              <w:t>•  Static-microsite delivery architecture: no backend and zero recurring hosting cost after turnover, designed for institutional succession</w:t>
            </w:r>
          </w:p>
          <w:p>
            <w:r>
              <w:rPr>
                <w:b w:val="0"/>
                <w:sz w:val="20"/>
              </w:rPr>
              <w:t>Positions held:  Technology Lead — Web Systems &amp; Data Platforms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platform architecture and succession model</w:t>
            </w:r>
          </w:p>
          <w:p>
            <w:r>
              <w:rPr>
                <w:b w:val="0"/>
                <w:sz w:val="20"/>
              </w:rPr>
              <w:t>•  Built the working demonstration site: map engine, data layers, and dashboard</w:t>
            </w:r>
          </w:p>
          <w:p>
            <w:r>
              <w:rPr>
                <w:b w:val="0"/>
                <w:sz w:val="20"/>
              </w:rPr>
              <w:t>•  Authored the technology methodology and turnover plan integrated into the proposal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Multi-entity salon operations platform — Piandré Salon group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Piandré Salon group (five corporate entities)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Online booking, staff commissions engine, rewards, and payment processing across a shared PostgreSQL (Supabase) database</w:t>
            </w:r>
          </w:p>
          <w:p>
            <w:r>
              <w:rPr>
                <w:b w:val="0"/>
                <w:sz w:val="20"/>
              </w:rPr>
              <w:t>•  Separate staff and corporate portals over one data model; card-fee (MDR) and withholding handling built into payouts</w:t>
            </w:r>
          </w:p>
          <w:p>
            <w:r>
              <w:rPr>
                <w:b w:val="0"/>
                <w:sz w:val="20"/>
              </w:rPr>
              <w:t>•  Online retail store: products, gift certificates, and store pickup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multi-entity data model and role-based access</w:t>
            </w:r>
          </w:p>
          <w:p>
            <w:r>
              <w:rPr>
                <w:b w:val="0"/>
                <w:sz w:val="20"/>
              </w:rPr>
              <w:t>•  Built booking, commissions, and payments (Xendit) end to end</w:t>
            </w:r>
          </w:p>
          <w:p>
            <w:r>
              <w:rPr>
                <w:b w:val="0"/>
                <w:sz w:val="20"/>
              </w:rPr>
              <w:t>•  Operate and iterate the platform in production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Accounting-practice back office &amp; digital-invoice compliance — Accountinus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Accountinus (five-entity Philippine accounting practice)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Back-office system for a multi-entity accounting firm</w:t>
            </w:r>
          </w:p>
          <w:p>
            <w:r>
              <w:rPr>
                <w:b w:val="0"/>
                <w:sz w:val="20"/>
              </w:rPr>
              <w:t>•  Data model and workflows targeting BIR Electronic Invoicing System (EIS) digital-invoice compliance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compliance-oriented data model</w:t>
            </w:r>
          </w:p>
          <w:p>
            <w:r>
              <w:rPr>
                <w:b w:val="0"/>
                <w:sz w:val="20"/>
              </w:rPr>
              <w:t>•  Building invoicing and back-office workflows with the firm's partners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Operations &amp; document platforms — ops.post205.com and sign.post205.com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Post 205, Inc. (production platforms used across client engagements)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Operations command center: clients, leads, engagements, payment notices, compliance calendar, and analytics</w:t>
            </w:r>
          </w:p>
          <w:p>
            <w:r>
              <w:rPr>
                <w:b w:val="0"/>
                <w:sz w:val="20"/>
              </w:rPr>
              <w:t>•  Dynamic service-agreement platform with e-signature, acceptance audit trail, and notarizable document mode</w:t>
            </w:r>
          </w:p>
          <w:p>
            <w:r>
              <w:rPr>
                <w:b w:val="0"/>
                <w:sz w:val="20"/>
              </w:rPr>
              <w:t>•  Secure public-form architecture: bot protection, serverless write paths, database-level access revocation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and shipped both platforms</w:t>
            </w:r>
          </w:p>
          <w:p>
            <w:r>
              <w:rPr>
                <w:b w:val="0"/>
                <w:sz w:val="20"/>
              </w:rPr>
              <w:t>•  Built serverless functions, email systems (Resend), and e-sign flows</w:t>
            </w:r>
          </w:p>
          <w:p>
            <w:r>
              <w:rPr>
                <w:b w:val="0"/>
                <w:sz w:val="20"/>
              </w:rPr>
              <w:t>•  Run them daily as POST205's own back office — the systems sold are the systems used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2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C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1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B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B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Multi-publication content platform — CADMC / Advocates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CADMC (legal advocacy publication group)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Multi-publication CMS on a single PostgreSQL (Supabase) instance</w:t>
            </w:r>
          </w:p>
          <w:p>
            <w:r>
              <w:rPr>
                <w:b w:val="0"/>
                <w:sz w:val="20"/>
              </w:rPr>
              <w:t>•  Editorial workflows and publication surfaces for several titles under one platform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multi-publication schema</w:t>
            </w:r>
          </w:p>
          <w:p>
            <w:r>
              <w:rPr>
                <w:b w:val="0"/>
                <w:sz w:val="20"/>
              </w:rPr>
              <w:t>•  Built and deployed the platform; migrated legacy article archives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C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Community platforms — alumni and association systems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Ateneo HS 2001 alumni association (01bigfight); Poveda 2002 (povedans.com); BNI chapter (all-stars)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Alumni pledge and homecoming platforms with payments and email confirmation</w:t>
            </w:r>
          </w:p>
          <w:p>
            <w:r>
              <w:rPr>
                <w:b w:val="0"/>
                <w:sz w:val="20"/>
              </w:rPr>
              <w:t>•  Association member directory, analytics, and role-based admin systems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and shipped each platform end to end</w:t>
            </w:r>
          </w:p>
          <w:p>
            <w:r>
              <w:rPr>
                <w:b w:val="0"/>
                <w:sz w:val="20"/>
              </w:rPr>
              <w:t>•  Built reusable patterns (secure submissions, member admin) now shared across projects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D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00000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Please continue as per deemed necessary.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Figtree" w:cs="Figtree" w:eastAsia="Figtree" w:hAnsi="Figtree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Figtree" w:cs="Figtree" w:eastAsia="Figtree" w:hAnsi="Figtree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igtre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igtree-regular.ttf"/><Relationship Id="rId2" Type="http://schemas.openxmlformats.org/officeDocument/2006/relationships/font" Target="fonts/Figtree-bold.ttf"/><Relationship Id="rId3" Type="http://schemas.openxmlformats.org/officeDocument/2006/relationships/font" Target="fonts/Figtree-italic.ttf"/><Relationship Id="rId4" Type="http://schemas.openxmlformats.org/officeDocument/2006/relationships/font" Target="fonts/Figtre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0lcpFBmqK00+sFplj0OmhtgnNg==">CgMxLjAyCGguZ2pkZ3hzOAByITFueHZsdnZGYmotMktNOXJ5SmRwekVHc0c1RHY4X2Y4cA==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