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Philippines — member since 2018; Vice President and Membership Committee Chair, 2025; multiple chapter leadership positions over eight consecutive years.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Metro Manila,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