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jc w:val="center"/>
      </w:pPr>
      <w:r>
        <w:rPr>
          <w:rFonts w:ascii="Arial" w:hAnsi="Arial"/>
          <w:b/>
          <w:i w:val="0"/>
          <w:color w:val="1B3767"/>
          <w:sz w:val="36"/>
        </w:rPr>
        <w:t>SULTAN SALAHUDDIN</w:t>
      </w:r>
    </w:p>
    <w:p>
      <w:pPr>
        <w:keepNext w:val="0"/>
        <w:spacing w:before="0" w:after="20" w:line="240" w:lineRule="auto"/>
        <w:jc w:val="center"/>
      </w:pPr>
      <w:r>
        <w:rPr>
          <w:rFonts w:ascii="Arial" w:hAnsi="Arial"/>
          <w:b/>
          <w:i w:val="0"/>
          <w:color w:val="1B3767"/>
          <w:sz w:val="22"/>
        </w:rPr>
        <w:t>Director of Digital Commerce &amp; Transformation</w:t>
      </w:r>
    </w:p>
    <w:p>
      <w:pPr>
        <w:keepNext w:val="0"/>
        <w:spacing w:before="0" w:after="20" w:line="240" w:lineRule="auto"/>
        <w:jc w:val="center"/>
      </w:pPr>
      <w:r>
        <w:rPr>
          <w:rFonts w:ascii="Arial" w:hAnsi="Arial"/>
          <w:b w:val="0"/>
          <w:i w:val="0"/>
          <w:color w:val="202020"/>
          <w:sz w:val="18"/>
        </w:rPr>
        <w:t>Riyadh, Saudi Arabia  |  +966 50 989 8765  |  post2sultan@gmail.com  |  linkedin.com/in/sultan4824</w:t>
      </w:r>
    </w:p>
    <w:p>
      <w:pPr>
        <w:keepNext w:val="0"/>
        <w:spacing w:before="0" w:after="60" w:line="240" w:lineRule="auto"/>
        <w:jc w:val="center"/>
      </w:pPr>
      <w:r>
        <w:rPr>
          <w:rFonts w:ascii="Arial" w:hAnsi="Arial"/>
          <w:b w:val="0"/>
          <w:i/>
          <w:color w:val="585858"/>
          <w:sz w:val="18"/>
        </w:rPr>
        <w:t>Transferable Iqama  |  Immediately Available</w:t>
      </w:r>
    </w:p>
    <w:p>
      <w:pPr>
        <w:keepNext/>
        <w:spacing w:before="120" w:after="40" w:line="240" w:lineRule="auto"/>
        <w:pBdr>
          <w:bottom w:val="single" w:sz="6" w:space="2" w:color="1B3767"/>
        </w:pBdr>
      </w:pPr>
      <w:r>
        <w:rPr>
          <w:rFonts w:ascii="Arial" w:hAnsi="Arial"/>
          <w:b/>
          <w:i w:val="0"/>
          <w:color w:val="1B3767"/>
          <w:sz w:val="21"/>
        </w:rPr>
        <w:t>EXECUTIVE SUMMARY</w:t>
      </w:r>
    </w:p>
    <w:p>
      <w:pPr>
        <w:keepNext w:val="0"/>
        <w:spacing w:before="0" w:after="40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Digital commerce and transformation leader with 15+ years of experience scaling omnichannel commerce, CRM, loyalty, and customer-growth ecosystems across QSR, consumer electronics, retail, and global technology. Brings full P&amp;L and multi-million-SAR budget ownership, executive stakeholder leadership, and a record of modernizing legacy platforms through data-led personalization, agile delivery, and AI-enabled automation.</w:t>
      </w:r>
    </w:p>
    <w:p>
      <w:pPr>
        <w:keepNext w:val="0"/>
        <w:spacing w:before="0" w:after="60" w:line="240" w:lineRule="auto"/>
      </w:pPr>
      <w:r>
        <w:rPr>
          <w:rFonts w:ascii="Arial" w:hAnsi="Arial"/>
          <w:b/>
          <w:i w:val="0"/>
          <w:color w:val="2A5EA0"/>
          <w:sz w:val="18"/>
        </w:rPr>
        <w:t xml:space="preserve">SELECTED EXECUTIVE IMPACT  </w:t>
      </w:r>
      <w:r>
        <w:rPr>
          <w:rFonts w:ascii="Arial" w:hAnsi="Arial"/>
          <w:b/>
          <w:i w:val="0"/>
          <w:color w:val="202020"/>
          <w:sz w:val="18"/>
        </w:rPr>
        <w:t>24% digital-channel revenue at McDonald's KSA  |  20% country P&amp;L at Samsung KSA  |  SAR 800M revenue managed at eXtra (~27% of company revenue)</w:t>
      </w:r>
    </w:p>
    <w:p>
      <w:pPr>
        <w:keepNext/>
        <w:spacing w:before="120" w:after="40" w:line="240" w:lineRule="auto"/>
        <w:pBdr>
          <w:bottom w:val="single" w:sz="6" w:space="2" w:color="1B3767"/>
        </w:pBdr>
      </w:pPr>
      <w:r>
        <w:rPr>
          <w:rFonts w:ascii="Arial" w:hAnsi="Arial"/>
          <w:b/>
          <w:i w:val="0"/>
          <w:color w:val="1B3767"/>
          <w:sz w:val="21"/>
        </w:rPr>
        <w:t>CORE LEADERSHIP &amp; TECHNOLOGY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Digital strategy &amp; transformation | eCommerce P&amp;L | Omnichannel growth | D2C &amp; B2B commerce | CRM, loyalty &amp; lifecycle | Customer acquisition | Commercial GTM | CRO &amp; personalization | CDP/RFM segmentation | MarTech | Digital analytics | Vendor &amp; partner leadership | Agile delivery</w:t>
      </w:r>
    </w:p>
    <w:p>
      <w:pPr>
        <w:keepNext w:val="0"/>
        <w:spacing w:before="0" w:after="40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Platforms &amp; AI tools: SAP Commerce Cloud, Adobe Experience Manager, Braze, WebEngage, Insider, Plexure, Kochava, Google Analytics, Power BI, Jira/Confluence, Asana, Monday.com, Perplexity AI, OpenAI, Replit, Framer, Napkin, Tabby, Tamara, Payfort (APS), MPGS, CyberSource.</w:t>
      </w:r>
    </w:p>
    <w:p>
      <w:pPr>
        <w:keepNext/>
        <w:spacing w:before="120" w:after="40" w:line="240" w:lineRule="auto"/>
        <w:pBdr>
          <w:bottom w:val="single" w:sz="6" w:space="2" w:color="1B3767"/>
        </w:pBdr>
      </w:pPr>
      <w:r>
        <w:rPr>
          <w:rFonts w:ascii="Arial" w:hAnsi="Arial"/>
          <w:b/>
          <w:i w:val="0"/>
          <w:color w:val="1B3767"/>
          <w:sz w:val="21"/>
        </w:rPr>
        <w:t>PROFESSIONAL EXPERIENCE</w:t>
      </w:r>
    </w:p>
    <w:p>
      <w:pPr>
        <w:keepNext/>
        <w:spacing w:before="100" w:after="0" w:line="240" w:lineRule="auto"/>
      </w:pPr>
      <w:r>
        <w:rPr>
          <w:rFonts w:ascii="Arial" w:hAnsi="Arial"/>
          <w:b/>
          <w:i w:val="0"/>
          <w:color w:val="1B3767"/>
          <w:sz w:val="20"/>
        </w:rPr>
        <w:t>Venture Architect (Independent)</w:t>
      </w:r>
      <w:r>
        <w:rPr>
          <w:rFonts w:ascii="Arial" w:hAnsi="Arial"/>
          <w:b/>
          <w:i w:val="0"/>
          <w:color w:val="1B3767"/>
          <w:sz w:val="20"/>
        </w:rPr>
      </w:r>
      <w:r>
        <w:rPr>
          <w:rFonts w:ascii="Arial" w:hAnsi="Arial"/>
          <w:b/>
          <w:i w:val="0"/>
          <w:color w:val="585858"/>
          <w:sz w:val="18"/>
        </w:rPr>
        <w:t xml:space="preserve">  Jan 2026 - Present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i/>
          <w:color w:val="585858"/>
          <w:sz w:val="18"/>
        </w:rPr>
        <w:t>Riyadh, Saudi Arabia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Architecting three ventures from the ground up, with end-to-end ownership of brand strategy, platform build, and go-to-market execution.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Leading byBatool (bybatool.co), a Saudi maternal-health and birth-education platform, from concept through launch; two additional ventures are confidential and pre-launch.</w:t>
      </w:r>
    </w:p>
    <w:p>
      <w:pPr>
        <w:keepNext/>
        <w:spacing w:before="80" w:after="0" w:line="240" w:lineRule="auto"/>
      </w:pPr>
      <w:r>
        <w:rPr>
          <w:rFonts w:ascii="Arial" w:hAnsi="Arial"/>
          <w:b/>
          <w:i w:val="0"/>
          <w:color w:val="1B3767"/>
          <w:sz w:val="19"/>
        </w:rPr>
        <w:t>Planned Career Break - Family Time</w:t>
      </w:r>
      <w:r>
        <w:rPr>
          <w:rFonts w:ascii="Arial" w:hAnsi="Arial"/>
          <w:b/>
          <w:i w:val="0"/>
          <w:color w:val="585858"/>
          <w:sz w:val="18"/>
        </w:rPr>
        <w:t xml:space="preserve">  Oct 2025 - Jan 2026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i/>
          <w:color w:val="585858"/>
          <w:sz w:val="18"/>
        </w:rPr>
        <w:t>Planned family leave.</w:t>
      </w:r>
    </w:p>
    <w:p>
      <w:pPr>
        <w:keepNext/>
        <w:spacing w:before="100" w:after="0" w:line="240" w:lineRule="auto"/>
      </w:pPr>
      <w:r>
        <w:rPr>
          <w:rFonts w:ascii="Arial" w:hAnsi="Arial"/>
          <w:b/>
          <w:i w:val="0"/>
          <w:color w:val="1B3767"/>
          <w:sz w:val="20"/>
        </w:rPr>
        <w:t xml:space="preserve">Director of Digital | </w:t>
      </w:r>
      <w:r>
        <w:rPr>
          <w:rFonts w:ascii="Arial" w:hAnsi="Arial"/>
          <w:b/>
          <w:i w:val="0"/>
          <w:color w:val="1B3767"/>
          <w:sz w:val="20"/>
        </w:rPr>
        <w:t>McDonald's Saudi Arabia</w:t>
      </w:r>
      <w:r>
        <w:rPr>
          <w:rFonts w:ascii="Arial" w:hAnsi="Arial"/>
          <w:b/>
          <w:i w:val="0"/>
          <w:color w:val="585858"/>
          <w:sz w:val="18"/>
        </w:rPr>
        <w:t xml:space="preserve">  Mar 2024 - Oct 2025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i/>
          <w:color w:val="585858"/>
          <w:sz w:val="18"/>
        </w:rPr>
        <w:t>Riyadh, Saudi Arabia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Led 5 direct and 3 dotted-line reports across marketing, store operations, supply chain, finance, and technology for one of the Kingdom's two McDonald's franchise operators (275+ restaurants).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Owned a SAR 12.65M departmental budget, including SAR 4M for marketing and acquisition, representing ~10% of total corporate budget management.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Generated 24% of total company revenue through digital, loyalty, and CRM channels.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Selected as 1 of only 4 global markets (Nordics, South Africa, Australia, and KSA) for the Global MOP CRM Beta Program; the sole GCC market, with pilot results of 1.2x repeat purchase rate and 1.1x 90-day CLV.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Launched the region's first Cash + Points redemption model, generating ~SAR 0.2M in additional daily revenue with zero incremental spend or paid marketing.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Forged Gen Z-focused partnerships with Unipal, WalaPlus, Alinma, and Al Rajhi, reaching 5% of digital revenue within 30 days of launch.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Sustained MyRewards at 2M 90-day active users, lifting redemption frequency 1.24x and engagement 40%, with growth tracking toward 3.5M active users the following year.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Nominated for the EMEA Digital Acceleration Award (2024); led the CRM platform transformation from RFP through implementation and established a 3-year lifecycle-marketing roadmap.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Conceptualized and launched FamilyMode and Fanshop, gamified in-store engagement platforms that increased merchandise visibility and customer dwell time.</w:t>
      </w:r>
    </w:p>
    <w:p>
      <w:r>
        <w:br w:type="page"/>
      </w:r>
    </w:p>
    <w:p>
      <w:pPr>
        <w:keepNext/>
        <w:spacing w:before="100" w:after="0" w:line="240" w:lineRule="auto"/>
      </w:pPr>
      <w:r>
        <w:rPr>
          <w:rFonts w:ascii="Arial" w:hAnsi="Arial"/>
          <w:b/>
          <w:i w:val="0"/>
          <w:color w:val="1B3767"/>
          <w:sz w:val="20"/>
        </w:rPr>
        <w:t xml:space="preserve">Head of Online | </w:t>
      </w:r>
      <w:r>
        <w:rPr>
          <w:rFonts w:ascii="Arial" w:hAnsi="Arial"/>
          <w:b/>
          <w:i w:val="0"/>
          <w:color w:val="1B3767"/>
          <w:sz w:val="20"/>
        </w:rPr>
        <w:t>Samsung Electronics Saudi Arabia</w:t>
      </w:r>
      <w:r>
        <w:rPr>
          <w:rFonts w:ascii="Arial" w:hAnsi="Arial"/>
          <w:b/>
          <w:i w:val="0"/>
          <w:color w:val="585858"/>
          <w:sz w:val="18"/>
        </w:rPr>
        <w:t xml:space="preserve">  Oct 2020 - Jan 2024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i/>
          <w:color w:val="585858"/>
          <w:sz w:val="18"/>
        </w:rPr>
        <w:t>Riyadh, Saudi Arabia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Led 7 onsite and 3 Dubai-regional staff across commercial, strategy, marketing, operations, supply chain, and finance.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Owned 20% of the country's total business P&amp;L for D2C and B2B eCommerce.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Drove 45% of the country's Galaxy S23 pre-order sales and 25% during launch week, the highest-converting channel in MENA; delivered 15% YoY online revenue growth.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Improved NPS and CSAT by ~5% and reduced refunds and cancellations from 15% to 5% through customer-care, funnel, and CRM-retargeting improvements.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Recognised for early BNPL adoption and high conversion during the Galaxy Z Fold5 launch.</w:t>
      </w:r>
    </w:p>
    <w:p>
      <w:pPr>
        <w:keepNext/>
        <w:spacing w:before="100" w:after="0" w:line="240" w:lineRule="auto"/>
      </w:pPr>
      <w:r>
        <w:rPr>
          <w:rFonts w:ascii="Arial" w:hAnsi="Arial"/>
          <w:b/>
          <w:i w:val="0"/>
          <w:color w:val="1B3767"/>
          <w:sz w:val="20"/>
        </w:rPr>
        <w:t xml:space="preserve">Head of eCommerce | </w:t>
      </w:r>
      <w:r>
        <w:rPr>
          <w:rFonts w:ascii="Arial" w:hAnsi="Arial"/>
          <w:b/>
          <w:i w:val="0"/>
          <w:color w:val="1B3767"/>
          <w:sz w:val="20"/>
        </w:rPr>
        <w:t>eXtra (United Electronics Co.)</w:t>
      </w:r>
      <w:r>
        <w:rPr>
          <w:rFonts w:ascii="Arial" w:hAnsi="Arial"/>
          <w:b/>
          <w:i w:val="0"/>
          <w:color w:val="585858"/>
          <w:sz w:val="18"/>
        </w:rPr>
        <w:t xml:space="preserve">  Nov 2016 - Aug 2020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i/>
          <w:color w:val="585858"/>
          <w:sz w:val="18"/>
        </w:rPr>
        <w:t>Al Khobar, Saudi Arabia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Led a nine-person team across merchandising, sales, design, operations, and commercial; responsible for SAR 800M in revenue (~27% of total company revenue).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Launched and scaled strategic new categories, driving ~20% incremental revenue growth and expanded market reach.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Built mobile-based live dashboards with three-level category and channel drill-downs, giving C-level leadership an instant sales pulse.</w:t>
      </w:r>
    </w:p>
    <w:p>
      <w:pPr>
        <w:keepNext/>
        <w:spacing w:before="100" w:after="0" w:line="240" w:lineRule="auto"/>
      </w:pPr>
      <w:r>
        <w:rPr>
          <w:rFonts w:ascii="Arial" w:hAnsi="Arial"/>
          <w:b/>
          <w:i w:val="0"/>
          <w:color w:val="1B3767"/>
          <w:sz w:val="20"/>
        </w:rPr>
        <w:t xml:space="preserve">Manager eCommerce | </w:t>
      </w:r>
      <w:r>
        <w:rPr>
          <w:rFonts w:ascii="Arial" w:hAnsi="Arial"/>
          <w:b/>
          <w:i w:val="0"/>
          <w:color w:val="1B3767"/>
          <w:sz w:val="20"/>
        </w:rPr>
        <w:t>Al-Futtaim Group</w:t>
      </w:r>
      <w:r>
        <w:rPr>
          <w:rFonts w:ascii="Arial" w:hAnsi="Arial"/>
          <w:b/>
          <w:i w:val="0"/>
          <w:color w:val="585858"/>
          <w:sz w:val="18"/>
        </w:rPr>
        <w:t xml:space="preserve">  May 2014 - Jul 2016</w:t>
      </w:r>
    </w:p>
    <w:p>
      <w:pPr>
        <w:keepNext/>
        <w:spacing w:before="0" w:after="20" w:line="240" w:lineRule="auto"/>
      </w:pPr>
      <w:r>
        <w:rPr>
          <w:rFonts w:ascii="Arial" w:hAnsi="Arial"/>
          <w:b w:val="0"/>
          <w:i/>
          <w:color w:val="585858"/>
          <w:sz w:val="18"/>
        </w:rPr>
        <w:t>Dubai, UAE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Directed online merchandising, content, and campaign execution; reduced cart abandonment from 70% to 40% in the first quarter, then to 30% subsequently.</w:t>
      </w:r>
    </w:p>
    <w:p>
      <w:pPr>
        <w:pStyle w:val="ListBullet"/>
        <w:keepNext w:val="0"/>
        <w:spacing w:before="0" w:after="0" w:line="240" w:lineRule="auto"/>
        <w:ind w:left="259" w:hanging="187"/>
      </w:pPr>
      <w:r>
        <w:rPr>
          <w:rFonts w:ascii="Arial" w:hAnsi="Arial"/>
          <w:b w:val="0"/>
          <w:i w:val="0"/>
          <w:color w:val="202020"/>
          <w:sz w:val="18"/>
        </w:rPr>
        <w:t>Built marketing calendars and optimized product content, lifting engagement by ~40%.</w:t>
      </w:r>
    </w:p>
    <w:p>
      <w:pPr>
        <w:keepNext/>
        <w:spacing w:before="120" w:after="40" w:line="240" w:lineRule="auto"/>
        <w:pBdr>
          <w:bottom w:val="single" w:sz="6" w:space="2" w:color="1B3767"/>
        </w:pBdr>
      </w:pPr>
      <w:r>
        <w:rPr>
          <w:rFonts w:ascii="Arial" w:hAnsi="Arial"/>
          <w:b/>
          <w:i w:val="0"/>
          <w:color w:val="1B3767"/>
          <w:sz w:val="21"/>
        </w:rPr>
        <w:t>EARLIER CAREER, EDUCATION &amp; CERTIFICATIONS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Social Business Associate, IBM, Bangalore, India (2013-2014)  |  Associate Copywriter/Editor, PennyWise Solutions (Ogilvy Group), Hyderabad, India (2010-2013)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CDMP Certification, DAMA International (in progress, expected 2026)  |  AI Business Fellowship, Perplexity AI Inc. (in progress)  |  Certified ScrumMaster, Scrum Alliance (Jul 2024)  |  B.E., Electronics &amp; Communications, Osmania University (Jun 2010)</w:t>
      </w:r>
    </w:p>
    <w:p>
      <w:pPr>
        <w:keepNext/>
        <w:spacing w:before="120" w:after="40" w:line="240" w:lineRule="auto"/>
        <w:pBdr>
          <w:bottom w:val="single" w:sz="6" w:space="2" w:color="1B3767"/>
        </w:pBdr>
      </w:pPr>
      <w:r>
        <w:rPr>
          <w:rFonts w:ascii="Arial" w:hAnsi="Arial"/>
          <w:b/>
          <w:i w:val="0"/>
          <w:color w:val="1B3767"/>
          <w:sz w:val="21"/>
        </w:rPr>
        <w:t>LANGUAGES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i w:val="0"/>
          <w:color w:val="202020"/>
          <w:sz w:val="18"/>
        </w:rPr>
        <w:t>English (full professional) | Hindi, Urdu (professional working) | Telugu (limited working) | Arabic (elementary)</w:t>
      </w:r>
    </w:p>
    <w:sectPr w:rsidR="00FC693F" w:rsidRPr="0006063C" w:rsidSect="00034616">
      <w:footerReference w:type="default" r:id="rId9"/>
      <w:pgSz w:w="11909" w:h="16834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5858"/>
        <w:sz w:val="16"/>
      </w:rPr>
      <w:t xml:space="preserve">Sultan Salahuddin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