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418F" w14:textId="77777777" w:rsidR="005E7A17" w:rsidRDefault="00505045">
      <w:pPr>
        <w:pStyle w:val="FirstParagraph"/>
      </w:pPr>
      <w:r>
        <w:rPr>
          <w:b/>
          <w:bCs/>
        </w:rPr>
        <w:t>POLITIKA JAKO TŘÍROZMĚRNÝ PROSTOR:</w:t>
      </w:r>
    </w:p>
    <w:p w14:paraId="7BE24190" w14:textId="77777777" w:rsidR="005E7A17" w:rsidRDefault="00505045">
      <w:pPr>
        <w:pStyle w:val="Zkladntext"/>
      </w:pPr>
      <w:r>
        <w:rPr>
          <w:b/>
          <w:bCs/>
        </w:rPr>
        <w:t>L-E-F MODEL – FILOZOFIE A SPOLEČENSKOVĚDNÍ VÝCHODISKA</w:t>
      </w:r>
    </w:p>
    <w:p w14:paraId="7BE24191" w14:textId="77777777" w:rsidR="005E7A17" w:rsidRDefault="00505045">
      <w:pPr>
        <w:pStyle w:val="Zkladntext"/>
      </w:pPr>
      <w:r>
        <w:rPr>
          <w:i/>
          <w:iCs/>
        </w:rPr>
        <w:t>Dokument A ze tří (verze odpovídající sedmé revizi celku)</w:t>
      </w:r>
    </w:p>
    <w:p w14:paraId="7BE24192" w14:textId="77777777" w:rsidR="005E7A17" w:rsidRDefault="00505045">
      <w:pPr>
        <w:pStyle w:val="Zkladntext"/>
      </w:pPr>
      <w:r>
        <w:rPr>
          <w:b/>
          <w:bCs/>
        </w:rPr>
        <w:t>Jan Zapletal</w:t>
      </w:r>
    </w:p>
    <w:p w14:paraId="7BE24193" w14:textId="77777777" w:rsidR="005E7A17" w:rsidRDefault="00505045">
      <w:pPr>
        <w:pStyle w:val="Zkladntext"/>
      </w:pPr>
      <w:r>
        <w:t>2026</w:t>
      </w:r>
    </w:p>
    <w:p w14:paraId="7BE24194" w14:textId="77777777" w:rsidR="005E7A17" w:rsidRDefault="00505045">
      <w:pPr>
        <w:pStyle w:val="Nadpis1"/>
      </w:pPr>
      <w:bookmarkStart w:id="0" w:name="obsah"/>
      <w:r>
        <w:t>Obsah</w:t>
      </w:r>
    </w:p>
    <w:p w14:paraId="7BE24195" w14:textId="77777777" w:rsidR="005E7A17" w:rsidRDefault="00505045">
      <w:pPr>
        <w:pStyle w:val="FirstParagraph"/>
      </w:pPr>
      <w:r>
        <w:t>1. Úvod: model L-E-F, jeho cíle a soustava dokumentů</w:t>
      </w:r>
    </w:p>
    <w:p w14:paraId="7BE24196" w14:textId="77777777" w:rsidR="005E7A17" w:rsidRDefault="00505045">
      <w:pPr>
        <w:pStyle w:val="Zkladntext"/>
      </w:pPr>
      <w:r>
        <w:t>2. Teoretické ukotvení L-E-F modelu</w:t>
      </w:r>
    </w:p>
    <w:p w14:paraId="7BE24197" w14:textId="77777777" w:rsidR="005E7A17" w:rsidRDefault="00505045">
      <w:pPr>
        <w:pStyle w:val="Zkladntext"/>
      </w:pPr>
      <w:r>
        <w:t>3. Co je svoboda v modelu L-E-F: vymezení vůči klasickým pojetím</w:t>
      </w:r>
    </w:p>
    <w:p w14:paraId="7BE24198" w14:textId="77777777" w:rsidR="005E7A17" w:rsidRDefault="00505045">
      <w:pPr>
        <w:pStyle w:val="Zkladntext"/>
      </w:pPr>
      <w:r>
        <w:t>4. Tři dimenze jako antropologické konstanty</w:t>
      </w:r>
    </w:p>
    <w:p w14:paraId="7BE24199" w14:textId="77777777" w:rsidR="005E7A17" w:rsidRDefault="00505045">
      <w:pPr>
        <w:pStyle w:val="Zkladntext"/>
      </w:pPr>
      <w:r>
        <w:t>5. Konfliktní linie jako plnohodnotná štěpení: kritérium Bartoliniho a Maira</w:t>
      </w:r>
    </w:p>
    <w:p w14:paraId="7BE2419A" w14:textId="77777777" w:rsidR="005E7A17" w:rsidRDefault="00505045">
      <w:pPr>
        <w:pStyle w:val="Zkladntext"/>
      </w:pPr>
      <w:r>
        <w:t>6. Definice tří dimenzí L-E-F</w:t>
      </w:r>
    </w:p>
    <w:p w14:paraId="7BE2419B" w14:textId="77777777" w:rsidR="005E7A17" w:rsidRDefault="00505045">
      <w:pPr>
        <w:pStyle w:val="Zkladntext"/>
      </w:pPr>
      <w:r>
        <w:t>7. Mechanismus tendencí směřování</w:t>
      </w:r>
    </w:p>
    <w:p w14:paraId="7BE2419C" w14:textId="77777777" w:rsidR="005E7A17" w:rsidRDefault="00505045">
      <w:pPr>
        <w:pStyle w:val="Zkladntext"/>
      </w:pPr>
      <w:r>
        <w:t>8. Volební výsledky jako měřicí přístroj demokratičnosti společnosti</w:t>
      </w:r>
    </w:p>
    <w:p w14:paraId="7BE2419D" w14:textId="77777777" w:rsidR="005E7A17" w:rsidRDefault="00505045">
      <w:pPr>
        <w:pStyle w:val="Zkladntext"/>
      </w:pPr>
      <w:r>
        <w:t>9. Koaliční logika: předpoklady a teoretická tvrzení</w:t>
      </w:r>
    </w:p>
    <w:p w14:paraId="7BE2419E" w14:textId="77777777" w:rsidR="005E7A17" w:rsidRDefault="00505045">
      <w:pPr>
        <w:pStyle w:val="Zkladntext"/>
      </w:pPr>
      <w:r>
        <w:t>10. Hystereze: asymetrie demokratického úpadku a obnovy</w:t>
      </w:r>
    </w:p>
    <w:p w14:paraId="7BE2419F" w14:textId="77777777" w:rsidR="005E7A17" w:rsidRDefault="00505045">
      <w:pPr>
        <w:pStyle w:val="Zkladntext"/>
      </w:pPr>
      <w:r>
        <w:t>11. Zdroje energie posilující osu L: revoluce, reformace a kritické body</w:t>
      </w:r>
    </w:p>
    <w:p w14:paraId="7BE241A0" w14:textId="77777777" w:rsidR="005E7A17" w:rsidRDefault="00505045">
      <w:pPr>
        <w:pStyle w:val="Zkladntext"/>
      </w:pPr>
      <w:r>
        <w:t>12. Testovatelné hypotézy modelu L-E-F</w:t>
      </w:r>
    </w:p>
    <w:p w14:paraId="7BE241A1" w14:textId="77777777" w:rsidR="005E7A17" w:rsidRDefault="00505045">
      <w:pPr>
        <w:pStyle w:val="Nadpis1"/>
      </w:pPr>
      <w:bookmarkStart w:id="1" w:name="Xc84ecf141e2cebc38d7d5349a20559f4c6f6173"/>
      <w:bookmarkEnd w:id="0"/>
      <w:r>
        <w:t>1. Úvod: model L-E-F, jeho cíle a soustava dokumentů</w:t>
      </w:r>
    </w:p>
    <w:p w14:paraId="7BE241A2" w14:textId="77777777" w:rsidR="005E7A17" w:rsidRDefault="00505045">
      <w:pPr>
        <w:pStyle w:val="FirstParagraph"/>
      </w:pPr>
      <w:r>
        <w:t>Současná politická věda pracuje s řadou modelů, které se snaží zachytit strukturu politických konfliktů a ideologických orientací. Přestože se multidimenzionální přístupy staly běžnou součástí analýzy politických stran i voličského chování, většina z nich naráží na zásadní strukturální omezení. Jednorozměrné pravolevé škály, jejichž kořeny sahají k ekonomickým konfliktům devatenáctého století</w:t>
      </w:r>
      <w:r>
        <w:rPr>
          <w:rStyle w:val="Znakapoznpodarou"/>
        </w:rPr>
        <w:footnoteReference w:id="1"/>
      </w:r>
      <w:r>
        <w:t>, nedokáží postihnout kulturní a občanské aspekty politiky. Dvourozměrné modely, jako je Nolanův diagram</w:t>
      </w:r>
      <w:r>
        <w:rPr>
          <w:rStyle w:val="Znakapoznpodarou"/>
        </w:rPr>
        <w:footnoteReference w:id="2"/>
      </w:r>
      <w:r>
        <w:t xml:space="preserve"> </w:t>
      </w:r>
      <w:r>
        <w:t>nebo klasifikace GAL-TAN</w:t>
      </w:r>
      <w:r>
        <w:rPr>
          <w:rStyle w:val="Znakapoznpodarou"/>
        </w:rPr>
        <w:footnoteReference w:id="3"/>
      </w:r>
      <w:r>
        <w:t xml:space="preserve">, pak často spojují </w:t>
      </w:r>
      <w:r>
        <w:lastRenderedPageBreak/>
        <w:t>odlišné typy svobod do jediné osy nebo předpokládají jednotnou logiku levice a pravice napříč oblastmi, kde má ve skutečnosti odlišný význam.</w:t>
      </w:r>
    </w:p>
    <w:p w14:paraId="7BE241A3" w14:textId="4E127E13" w:rsidR="005E7A17" w:rsidRDefault="00505045">
      <w:pPr>
        <w:pStyle w:val="Zkladntext"/>
      </w:pPr>
      <w:r>
        <w:t xml:space="preserve">Výsledkem těchto strukturálních omezení je, že některé </w:t>
      </w:r>
      <w:r w:rsidR="00C77460">
        <w:t xml:space="preserve">reálně se vyskytující </w:t>
      </w:r>
      <w:r>
        <w:t>politické fenomény</w:t>
      </w:r>
      <w:r w:rsidR="00C77460">
        <w:t xml:space="preserve">, například </w:t>
      </w:r>
      <w:r>
        <w:t>kombinace kulturního konzervatismu s ekonomickým egalitarismem, nebo naopak liberální postoje spojené s odmítáním ekonomického laissez-faire</w:t>
      </w:r>
      <w:r w:rsidR="00C77460">
        <w:t>,</w:t>
      </w:r>
      <w:r>
        <w:t xml:space="preserve"> zůstávají analyticky neuchopené. Politický analytik má k dispozici nástroje, které dobře popisují jednu osu konfliktu, ale nedokáží vysvětlit, proč se konkrétní kombinace tendencí objevují systematicky, zatímco jiné jsou empiricky vzácné nebo zcela chybí.</w:t>
      </w:r>
    </w:p>
    <w:p w14:paraId="7BE241A4" w14:textId="5B48EAD9" w:rsidR="005E7A17" w:rsidRDefault="00505045">
      <w:pPr>
        <w:pStyle w:val="Zkladntext"/>
      </w:pPr>
      <w:r>
        <w:t>Impulsem pro vznik L-E-F modelu byla snaha zodpovědět zdánlivě jednoduchou, ale metodologicky náročnou otázku</w:t>
      </w:r>
      <w:r w:rsidR="00600B21">
        <w:t>, zda</w:t>
      </w:r>
      <w:r>
        <w:t xml:space="preserve"> lze určit, jaké hodnotové a ideové tendence převládají ve společnosti jako celku, a </w:t>
      </w:r>
      <w:r w:rsidR="00600B21">
        <w:t xml:space="preserve">jestli je možné </w:t>
      </w:r>
      <w:r>
        <w:t>tyto tendence měřit spolehlivě a srovnatelně v</w:t>
      </w:r>
      <w:r w:rsidR="003A24C6">
        <w:t> </w:t>
      </w:r>
      <w:r>
        <w:t>čase</w:t>
      </w:r>
      <w:r w:rsidR="003A24C6">
        <w:t>.</w:t>
      </w:r>
      <w:r>
        <w:t xml:space="preserve"> Tradiční nástroje, jako jsou průzkumy veřejného mínění, poskytují pouze fragmentované a nestálé informace, které jsou navíc citlivé na způsob dotazování a na sociální desirabilitu odpovědí. Naproti tomu volební výsledky představují stabilnější a robustnější zdroj dat, protože jde o data behaviorální</w:t>
      </w:r>
      <w:r w:rsidR="002E4039">
        <w:t xml:space="preserve">, neboli o </w:t>
      </w:r>
      <w:r>
        <w:t>výsledek skutečného rozhodování velkých skupin obyvatel v podmínkách reálné volby</w:t>
      </w:r>
      <w:r>
        <w:t>.</w:t>
      </w:r>
    </w:p>
    <w:p w14:paraId="7BE241A5" w14:textId="11906385" w:rsidR="005E7A17" w:rsidRDefault="00505045">
      <w:pPr>
        <w:pStyle w:val="Zkladntext"/>
      </w:pPr>
      <w:r>
        <w:t>Politické strany v tomto rámci fungují jako agregátory hodnotových proudů svých voličů. Jsou přitom spíše ve vleku voličů, než aby je samy formovaly</w:t>
      </w:r>
      <w:r w:rsidR="00493729">
        <w:t>. Politické strany se</w:t>
      </w:r>
      <w:r>
        <w:t xml:space="preserve"> přizpůsobují</w:t>
      </w:r>
      <w:r>
        <w:t xml:space="preserve"> hodnotovým proudům, které v dané společnosti existují, hledají </w:t>
      </w:r>
      <w:r w:rsidR="00380DA0">
        <w:t>velké koncentrace</w:t>
      </w:r>
      <w:r>
        <w:t xml:space="preserve"> voličů a adaptují své pozice na existující </w:t>
      </w:r>
      <w:r w:rsidR="001925BF">
        <w:t>profil</w:t>
      </w:r>
      <w:r>
        <w:t xml:space="preserve"> politického prostoru. Strany vznikají a zanikají, ale hodnotové proudy, které obsluhují, jsou relativně stabilní a mění se generačně, nikoli volebně</w:t>
      </w:r>
      <w:r>
        <w:rPr>
          <w:rStyle w:val="Znakapoznpodarou"/>
        </w:rPr>
        <w:footnoteReference w:id="4"/>
      </w:r>
      <w:r>
        <w:t>. Agregací stranických pozic vážených volebními výsledky lze proto rekonstruovat to, co Montesquieu nazval duchem národa</w:t>
      </w:r>
      <w:r w:rsidR="006235ED">
        <w:t>,</w:t>
      </w:r>
      <w:r>
        <w:t xml:space="preserve"> esprit général</w:t>
      </w:r>
      <w:r>
        <w:rPr>
          <w:rStyle w:val="Znakapoznpodarou"/>
        </w:rPr>
        <w:footnoteReference w:id="5"/>
      </w:r>
      <w:r w:rsidR="006235ED">
        <w:t xml:space="preserve">, </w:t>
      </w:r>
      <w:r>
        <w:t>a sledovat jeho pohyb v čase.</w:t>
      </w:r>
    </w:p>
    <w:p w14:paraId="7BE241A6" w14:textId="52B910A6" w:rsidR="005E7A17" w:rsidRDefault="00505045">
      <w:pPr>
        <w:pStyle w:val="Zkladntext"/>
      </w:pPr>
      <w:r>
        <w:t>Tento text nabízí nový teoretický rámec založený na třech autonomních, ale vzájemně propojených dimenzích: občanské svobody (L – liberté), ekonomické svobody (E – égalité) a kulturní svobody (F – fraternité), zkráceně L-E-F model. Model je ve svém jádru geometrický: politický prostor je reprezentován koulí, politické strany jsou globule (rozložení jejich voličů) uvnitř této koule a celá společnost je útvar s měřitelným tvarem, který se v čase pohybuje a mění</w:t>
      </w:r>
      <w:r>
        <w:t>. Hledání pohybu a změny tohoto tvaru je základní ambicí modelu.</w:t>
      </w:r>
    </w:p>
    <w:p w14:paraId="7BE241A7" w14:textId="759DB112" w:rsidR="005E7A17" w:rsidRDefault="00ED7C19" w:rsidP="00ED7C19">
      <w:pPr>
        <w:pStyle w:val="Nadpis2"/>
      </w:pPr>
      <w:r>
        <w:t xml:space="preserve">1.1 </w:t>
      </w:r>
      <w:r w:rsidR="00505045">
        <w:t>Cíle modelu L-E-F</w:t>
      </w:r>
    </w:p>
    <w:p w14:paraId="7BE241A8" w14:textId="77777777" w:rsidR="005E7A17" w:rsidRDefault="00505045">
      <w:pPr>
        <w:pStyle w:val="Zkladntext"/>
      </w:pPr>
      <w:r>
        <w:t>Model sleduje dva hlavní cíle a řadu vedlejších, z nichž některé vznikly až v průběhu jeho vývoje, ne jako součást původního záměru.</w:t>
      </w:r>
    </w:p>
    <w:p w14:paraId="5E730850" w14:textId="77777777" w:rsidR="001C713D" w:rsidRDefault="00505045" w:rsidP="001C713D">
      <w:pPr>
        <w:pStyle w:val="Zkladntext"/>
        <w:numPr>
          <w:ilvl w:val="0"/>
          <w:numId w:val="9"/>
        </w:numPr>
      </w:pPr>
      <w:r w:rsidRPr="003A64D5">
        <w:t xml:space="preserve">První hlavní cíl </w:t>
      </w:r>
      <w:r w:rsidR="00FD60E0" w:rsidRPr="003A64D5">
        <w:t>je</w:t>
      </w:r>
      <w:r w:rsidRPr="003A64D5">
        <w:t xml:space="preserve"> zachytit obraz společnosti jako měřitelný, opakovaně použitelný záznam.</w:t>
      </w:r>
      <w:r>
        <w:t xml:space="preserve"> Model má poskytnout nástroj, kterým lze politickou tendenci společnosti v daném čase a místě zapsat jako standardizovaný kód (např. L−1,</w:t>
      </w:r>
      <w:r w:rsidR="00FD60E0">
        <w:t>0</w:t>
      </w:r>
      <w:r>
        <w:t>; E+0,</w:t>
      </w:r>
      <w:r w:rsidR="00FD60E0">
        <w:t>5</w:t>
      </w:r>
      <w:r>
        <w:t>; F−</w:t>
      </w:r>
      <w:r w:rsidR="00FD60E0">
        <w:t>1</w:t>
      </w:r>
      <w:r>
        <w:t>,</w:t>
      </w:r>
      <w:r w:rsidR="00FD60E0">
        <w:t>0</w:t>
      </w:r>
      <w:r>
        <w:t xml:space="preserve">), umožňující nejen popis jednoho okamžiku, ale i </w:t>
      </w:r>
      <w:r w:rsidRPr="003A64D5">
        <w:t>srovnání napříč zeměmi a časem</w:t>
      </w:r>
      <w:r w:rsidRPr="003A64D5">
        <w:t xml:space="preserve"> a </w:t>
      </w:r>
      <w:r w:rsidRPr="003A64D5">
        <w:t>empirické navazování</w:t>
      </w:r>
      <w:r w:rsidRPr="003A64D5">
        <w:t xml:space="preserve"> </w:t>
      </w:r>
      <w:r w:rsidRPr="003A64D5">
        <w:t>bud</w:t>
      </w:r>
      <w:r>
        <w:t>oucího výzkumu na výzkum předchozí</w:t>
      </w:r>
      <w:r w:rsidR="00283AA5">
        <w:t xml:space="preserve">. </w:t>
      </w:r>
      <w:r w:rsidR="00665FF5">
        <w:t>Sjednotí se t</w:t>
      </w:r>
      <w:r w:rsidR="00786CAF">
        <w:t>ak</w:t>
      </w:r>
      <w:r w:rsidR="00665FF5">
        <w:t xml:space="preserve"> </w:t>
      </w:r>
      <w:r w:rsidR="00786CAF">
        <w:t xml:space="preserve">neurčitá popisnost </w:t>
      </w:r>
      <w:r>
        <w:t>jazykově vázaných charakteristik (</w:t>
      </w:r>
      <w:r w:rsidR="00282614">
        <w:t>„</w:t>
      </w:r>
      <w:r>
        <w:t>umírněně pravicová</w:t>
      </w:r>
      <w:r w:rsidR="00282614">
        <w:t>“</w:t>
      </w:r>
      <w:r>
        <w:t xml:space="preserve">, </w:t>
      </w:r>
      <w:r w:rsidR="00282614">
        <w:t>„</w:t>
      </w:r>
      <w:r w:rsidR="00282614" w:rsidRPr="00282614">
        <w:t>středopravicová</w:t>
      </w:r>
      <w:r w:rsidR="00282614">
        <w:t xml:space="preserve">“, </w:t>
      </w:r>
      <w:r w:rsidR="00631F58">
        <w:t>„konzervativní levice“</w:t>
      </w:r>
      <w:r>
        <w:t xml:space="preserve">), které se mezi autory i časem těžko </w:t>
      </w:r>
      <w:r>
        <w:lastRenderedPageBreak/>
        <w:t>porovnávají. K</w:t>
      </w:r>
      <w:r w:rsidR="00E159F1">
        <w:t xml:space="preserve"> jednoznačnému </w:t>
      </w:r>
      <w:r>
        <w:t xml:space="preserve">pojmenování typu strany nebo společnosti </w:t>
      </w:r>
      <w:r w:rsidR="00E159F1">
        <w:t xml:space="preserve">se </w:t>
      </w:r>
      <w:r w:rsidR="001C713D">
        <w:t xml:space="preserve">navíc </w:t>
      </w:r>
      <w:r w:rsidR="00E159F1">
        <w:t>využije</w:t>
      </w:r>
      <w:r w:rsidR="001C713D">
        <w:t xml:space="preserve"> i</w:t>
      </w:r>
      <w:r w:rsidR="00E159F1">
        <w:t xml:space="preserve"> </w:t>
      </w:r>
      <w:r>
        <w:t>číselný a znaménkový zápis konfigurací</w:t>
      </w:r>
      <w:r>
        <w:t>.</w:t>
      </w:r>
    </w:p>
    <w:p w14:paraId="52FC3225" w14:textId="77777777" w:rsidR="00B85116" w:rsidRDefault="00505045" w:rsidP="00B85116">
      <w:pPr>
        <w:pStyle w:val="Zkladntext"/>
        <w:numPr>
          <w:ilvl w:val="0"/>
          <w:numId w:val="9"/>
        </w:numPr>
      </w:pPr>
      <w:r w:rsidRPr="001C713D">
        <w:t>Druhý hlavní cíl</w:t>
      </w:r>
      <w:r w:rsidR="001C713D">
        <w:t xml:space="preserve"> je </w:t>
      </w:r>
      <w:r w:rsidRPr="001C713D">
        <w:t>obhájit smysl trojrozměrné formalizace jako přesnějšího analytického nástroje.</w:t>
      </w:r>
      <w:r w:rsidRPr="001C713D">
        <w:t xml:space="preserve"> </w:t>
      </w:r>
      <w:r w:rsidRPr="001C713D">
        <w:t>Klasické, jednorozměrné dělení levice-pravice (odpovídající zhruba naší ose E) ztrácí</w:t>
      </w:r>
      <w:r>
        <w:t xml:space="preserve"> v postmoderní společnosti vysvětlující sílu</w:t>
      </w:r>
      <w:r w:rsidR="005967ED">
        <w:t xml:space="preserve">, </w:t>
      </w:r>
      <w:r>
        <w:t>což není jen teoretické tvrzení, ale je to přímo doloženo v této práci. Model se dvěma dalšími osami (L, F) nabízí nástroj</w:t>
      </w:r>
      <w:r w:rsidR="005B4F36">
        <w:t xml:space="preserve"> pro zachycení </w:t>
      </w:r>
      <w:r w:rsidR="00A559A7">
        <w:t xml:space="preserve">těchto </w:t>
      </w:r>
      <w:r w:rsidR="005B4F36">
        <w:t>posun</w:t>
      </w:r>
      <w:r w:rsidR="00DB5745">
        <w:t>ů</w:t>
      </w:r>
      <w:r>
        <w:t>.</w:t>
      </w:r>
    </w:p>
    <w:p w14:paraId="7BE241AB" w14:textId="2C9FC647" w:rsidR="005E7A17" w:rsidRDefault="00505045" w:rsidP="00B85116">
      <w:pPr>
        <w:pStyle w:val="Zkladntext"/>
        <w:numPr>
          <w:ilvl w:val="0"/>
          <w:numId w:val="9"/>
        </w:numPr>
      </w:pPr>
      <w:r w:rsidRPr="00B85116">
        <w:t>Vedlejší cíle</w:t>
      </w:r>
      <w:r w:rsidRPr="00B85116">
        <w:t xml:space="preserve"> </w:t>
      </w:r>
      <w:r>
        <w:t>vznikaly v průběhu vývoje modelu, často jako důsledek toho, že se ukázalo, že tříosý prostor umožňuje formalizovat i jevy, které nebyly součástí původního záměru</w:t>
      </w:r>
      <w:r w:rsidR="00B85116">
        <w:t xml:space="preserve">. Model </w:t>
      </w:r>
      <w:r w:rsidR="00026C1C">
        <w:t xml:space="preserve">přináší </w:t>
      </w:r>
      <w:r>
        <w:t>příspěvek k teorii koalic, systematick</w:t>
      </w:r>
      <w:r w:rsidR="00026C1C">
        <w:t>ou</w:t>
      </w:r>
      <w:r>
        <w:t xml:space="preserve"> klasifikac</w:t>
      </w:r>
      <w:r w:rsidR="00026C1C">
        <w:t>i</w:t>
      </w:r>
      <w:r>
        <w:t xml:space="preserve"> politických rodin, nebo nástroj pro měření salience a její dynamiky. Tyhle vedlejší cíle jsou hodnotné samy o sobě, ale nejsou důvodem, proč model vznikl.</w:t>
      </w:r>
    </w:p>
    <w:p w14:paraId="7BE241AC" w14:textId="0D2EA1D1" w:rsidR="005E7A17" w:rsidRDefault="00505045">
      <w:pPr>
        <w:pStyle w:val="Nadpis2"/>
      </w:pPr>
      <w:bookmarkStart w:id="2" w:name="soustava-tří-dokumentů"/>
      <w:r>
        <w:t xml:space="preserve">1.1 Soustava tří </w:t>
      </w:r>
      <w:r w:rsidR="001A7909">
        <w:t>částí</w:t>
      </w:r>
    </w:p>
    <w:p w14:paraId="7BE241AD" w14:textId="7942CC76" w:rsidR="005E7A17" w:rsidRDefault="00505045">
      <w:pPr>
        <w:pStyle w:val="FirstParagraph"/>
      </w:pPr>
      <w:r>
        <w:t xml:space="preserve">Model L-E-F </w:t>
      </w:r>
      <w:r w:rsidR="003D518D">
        <w:t>tvoří tři samostatně stojící části</w:t>
      </w:r>
      <w:r>
        <w:t>, které dohromady tvoří jeden celek a lze je číst i odděleně:</w:t>
      </w:r>
    </w:p>
    <w:p w14:paraId="7BE241AE" w14:textId="1B6DECB8" w:rsidR="005E7A17" w:rsidRDefault="00505045">
      <w:pPr>
        <w:pStyle w:val="Compact"/>
        <w:numPr>
          <w:ilvl w:val="0"/>
          <w:numId w:val="2"/>
        </w:numPr>
      </w:pPr>
      <w:r>
        <w:rPr>
          <w:b/>
          <w:bCs/>
        </w:rPr>
        <w:t>A. Filozofie a společenskovědní východiska</w:t>
      </w:r>
      <w:r>
        <w:t xml:space="preserve">. Odpovídá na otázku, </w:t>
      </w:r>
      <w:r>
        <w:rPr>
          <w:i/>
          <w:iCs/>
        </w:rPr>
        <w:t>proč</w:t>
      </w:r>
      <w:r>
        <w:t xml:space="preserve"> model vypadá tak, jak vypadá: z jakých filozofických pojmů svobody vychází, proč pracuje právě se třemi dimenzemi, proč je osa L procedurální a osy E a F substantivní, jaké jsou jeho předpoklady o vztahu stran a voličů a jaká testovatelná tvrzení z těchto východisek plynou</w:t>
      </w:r>
      <w:r>
        <w:t>.</w:t>
      </w:r>
    </w:p>
    <w:p w14:paraId="7BE241AF" w14:textId="77777777" w:rsidR="005E7A17" w:rsidRDefault="00505045">
      <w:pPr>
        <w:pStyle w:val="Compact"/>
        <w:numPr>
          <w:ilvl w:val="0"/>
          <w:numId w:val="2"/>
        </w:numPr>
      </w:pPr>
      <w:r>
        <w:rPr>
          <w:b/>
          <w:bCs/>
        </w:rPr>
        <w:t>B. Geometrie a matematika prostoru L-E-F.</w:t>
      </w:r>
      <w:r>
        <w:t xml:space="preserve"> Odpovídá na otázku, </w:t>
      </w:r>
      <w:r>
        <w:rPr>
          <w:i/>
          <w:iCs/>
        </w:rPr>
        <w:t>jak</w:t>
      </w:r>
      <w:r>
        <w:t xml:space="preserve"> se pozice a tvar počítají: prostor, poloha strany, měkká příslušnost a konfigurace, globule stran, tři vrstvy tvaru společnosti, souhrnné ukazatele, zobrazení a příklad výpočtu na českých volbách.</w:t>
      </w:r>
    </w:p>
    <w:p w14:paraId="7BE241B1" w14:textId="1F4FEF39" w:rsidR="005E7A17" w:rsidRDefault="00505045" w:rsidP="003E509C">
      <w:pPr>
        <w:pStyle w:val="Compact"/>
        <w:numPr>
          <w:ilvl w:val="0"/>
          <w:numId w:val="2"/>
        </w:numPr>
      </w:pPr>
      <w:r>
        <w:rPr>
          <w:b/>
          <w:bCs/>
        </w:rPr>
        <w:t>C. Metodologie, databáze a empirické ověření.</w:t>
      </w:r>
      <w:r>
        <w:t xml:space="preserve"> Odpovídá na otázku, </w:t>
      </w:r>
      <w:r>
        <w:rPr>
          <w:i/>
          <w:iCs/>
        </w:rPr>
        <w:t>z čeho a jak přesně</w:t>
      </w:r>
      <w:r>
        <w:t xml:space="preserve"> </w:t>
      </w:r>
      <w:r>
        <w:t>se model počítá: harmonizace zdrojových datasetů (CHES, MARPOR, V-Party, WVS/EVS, ESS), převodník proměnných na osy, návrh vlastního měřicího nástroje a baterie empirických testů.</w:t>
      </w:r>
    </w:p>
    <w:p w14:paraId="7BE241B4" w14:textId="77777777" w:rsidR="005E7A17" w:rsidRDefault="00505045">
      <w:pPr>
        <w:pStyle w:val="Nadpis1"/>
      </w:pPr>
      <w:bookmarkStart w:id="3" w:name="teoretické-ukotvení-l-e-f-modelu"/>
      <w:bookmarkEnd w:id="1"/>
      <w:bookmarkEnd w:id="2"/>
      <w:r>
        <w:t>2. Teoretické ukotvení L-E-F modelu</w:t>
      </w:r>
    </w:p>
    <w:p w14:paraId="7BE241B5" w14:textId="77777777" w:rsidR="005E7A17" w:rsidRDefault="00505045">
      <w:pPr>
        <w:pStyle w:val="FirstParagraph"/>
      </w:pPr>
      <w:r>
        <w:t>Výzkum politických orientací a konfliktních linií se dlouhodobě opírá o různé typologie, které se snaží zachytit ideologickou strukturu společnosti. Nejrozšířenějším přístupem je tradiční pravolevé dělení, jehož kořeny sahají k ekonomickým konfliktům devatenáctého století</w:t>
      </w:r>
      <w:r>
        <w:rPr>
          <w:rStyle w:val="Znakapoznpodarou"/>
        </w:rPr>
        <w:footnoteReference w:id="6"/>
      </w:r>
      <w:r>
        <w:t>. Tento jednorozměrný model však postupně přestal postačovat, protože nedokáže zachytit kulturní, občanské ani hodnotové aspekty politiky, které se od konce dvacátého století staly klíčovými.</w:t>
      </w:r>
    </w:p>
    <w:p w14:paraId="7BE241B6" w14:textId="203A17A6" w:rsidR="005E7A17" w:rsidRDefault="00505045">
      <w:pPr>
        <w:pStyle w:val="Zkladntext"/>
      </w:pPr>
      <w:r>
        <w:t>Nolanův diagram</w:t>
      </w:r>
      <w:r>
        <w:rPr>
          <w:rStyle w:val="Znakapoznpodarou"/>
        </w:rPr>
        <w:footnoteReference w:id="7"/>
      </w:r>
      <w:r>
        <w:t xml:space="preserve"> rozlišuje ekonomickou a osobní svobodu a vytváří čtyřkvadrantový prostor, a</w:t>
      </w:r>
      <w:r w:rsidR="00CF05BF">
        <w:t>však</w:t>
      </w:r>
      <w:r>
        <w:t xml:space="preserve"> spojuje kulturní a občanské aspekty do jediné osy </w:t>
      </w:r>
      <w:r w:rsidR="00B81200">
        <w:t>„</w:t>
      </w:r>
      <w:r>
        <w:t>osobní svobody</w:t>
      </w:r>
      <w:r w:rsidR="00B81200">
        <w:t>“</w:t>
      </w:r>
      <w:r>
        <w:t>. Tím přehlíží rozdílnou povahu kulturních konfliktů</w:t>
      </w:r>
      <w:r w:rsidR="00DF0F2D">
        <w:t xml:space="preserve"> (</w:t>
      </w:r>
      <w:r>
        <w:t>identit</w:t>
      </w:r>
      <w:r w:rsidR="00DF0F2D">
        <w:t>a</w:t>
      </w:r>
      <w:r>
        <w:t>, tradice, národní soudržnost</w:t>
      </w:r>
      <w:r w:rsidR="00DF0F2D">
        <w:t>)</w:t>
      </w:r>
      <w:r>
        <w:t xml:space="preserve"> a občanských práv</w:t>
      </w:r>
      <w:r>
        <w:t>. Podobně modely vycházející z konceptu GAL-TAN, rozvíjené zejména Kriesim a kolegy</w:t>
      </w:r>
      <w:r>
        <w:rPr>
          <w:rStyle w:val="Znakapoznpodarou"/>
        </w:rPr>
        <w:footnoteReference w:id="8"/>
      </w:r>
      <w:r>
        <w:t xml:space="preserve">, </w:t>
      </w:r>
      <w:r>
        <w:lastRenderedPageBreak/>
        <w:t xml:space="preserve">zachycují kulturní dimenzi moderní politiky, ale jejich slabinou je, že často slučují kulturní a občanské aspekty do jediné linie </w:t>
      </w:r>
      <w:r w:rsidR="005B7633">
        <w:t>„</w:t>
      </w:r>
      <w:r>
        <w:t>progresivismus versus konzervatismus</w:t>
      </w:r>
      <w:r w:rsidR="005B7633">
        <w:t>“</w:t>
      </w:r>
      <w:r>
        <w:t>. Tím vzniká analytická nejasnost</w:t>
      </w:r>
      <w:r w:rsidR="005B7633">
        <w:t>, protože</w:t>
      </w:r>
      <w:r>
        <w:t xml:space="preserve"> autoritářství je zde chápáno jako kulturní konzervatismus, přestože jde o odlišný fenomén týkající se vztahu k moci, nikoli k tradici.</w:t>
      </w:r>
    </w:p>
    <w:p w14:paraId="7BE241B7" w14:textId="5B99BFC7" w:rsidR="005E7A17" w:rsidRDefault="00505045">
      <w:pPr>
        <w:pStyle w:val="Zkladntext"/>
      </w:pPr>
      <w:r>
        <w:t>Další významnou tradici představují modely založené na hodnotových změnách, zejména práce Ronalda Ingleharta a Christiana Welzela</w:t>
      </w:r>
      <w:r>
        <w:rPr>
          <w:rStyle w:val="Znakapoznpodarou"/>
        </w:rPr>
        <w:footnoteReference w:id="9"/>
      </w:r>
      <w:r>
        <w:t>, které rozlišují materialistické a postmaterialistické hodnoty. Tyto přístupy však popisují spíše dlouhodobé kulturní posuny než konkrétní politické tendence aktérů a nejsou přímo operacionalizovatelné pro klasifikaci politických stran nebo koalic. Teorie nových politických konfliktů Herberta Kitschelta</w:t>
      </w:r>
      <w:r>
        <w:rPr>
          <w:rStyle w:val="Znakapoznpodarou"/>
        </w:rPr>
        <w:footnoteReference w:id="10"/>
      </w:r>
      <w:r>
        <w:t xml:space="preserve"> </w:t>
      </w:r>
      <w:r>
        <w:t>ukazuje, že moderní politika se odehrává na více osách, zejména mezi ekonomickým a kulturním liberalismem</w:t>
      </w:r>
      <w:r w:rsidR="00146F24">
        <w:t>. Podobně koncipované</w:t>
      </w:r>
      <w:r>
        <w:t xml:space="preserve"> modely však často předpokládají, že liberalismus má jednotnou povahu napříč oblastmi, což empiricky neplatí, protože voliči mohou být ekonomicky liberální, ale kulturně konzervativní, a naopak.</w:t>
      </w:r>
    </w:p>
    <w:p w14:paraId="7BE241B8" w14:textId="4DCF261E" w:rsidR="005E7A17" w:rsidRDefault="00505045">
      <w:pPr>
        <w:pStyle w:val="Zkladntext"/>
      </w:pPr>
      <w:r>
        <w:t>Expertní šetření, jako je Chapel Hill Expert Survey</w:t>
      </w:r>
      <w:r>
        <w:rPr>
          <w:rStyle w:val="Znakapoznpodarou"/>
        </w:rPr>
        <w:footnoteReference w:id="11"/>
      </w:r>
      <w:r>
        <w:t>, mapují pozice stran na více osách, ale jejich limitem je závislost na subjektivních interpretacích expertů a absence jednotné teoretické struktury, která by vysvětlovala, proč jsou jednotlivé dimenze oddělené a jak spolu souvis</w:t>
      </w:r>
      <w:r w:rsidR="00046065">
        <w:t>í</w:t>
      </w:r>
      <w:r>
        <w:t>.</w:t>
      </w:r>
    </w:p>
    <w:p w14:paraId="7BE241B9" w14:textId="2574F362" w:rsidR="005E7A17" w:rsidRDefault="00505045">
      <w:pPr>
        <w:pStyle w:val="Zkladntext"/>
      </w:pPr>
      <w:r>
        <w:t>L-E-F model reaguje na výše uvedené nedostatky tím, že rozlišuje tři autonomní dimenze, které nejsou uměle spojovány do jediné osy, odděluje kulturní a občanskou svobodu, což většina modelů nedělá, pracuje s ideálními vrcholy umožňujícími přesnější geometrickou interpretaci, umožňuje kombinace, které tradiční modely neumí zachytit, a je operacionalizovatelný pomocí volebních výsledků a programových analýz</w:t>
      </w:r>
      <w:r>
        <w:t>.</w:t>
      </w:r>
    </w:p>
    <w:p w14:paraId="7BE241BA" w14:textId="7B1F1DEA" w:rsidR="005E7A17" w:rsidRDefault="00505045">
      <w:pPr>
        <w:pStyle w:val="Zkladntext"/>
      </w:pPr>
      <w:r>
        <w:t xml:space="preserve">Model L-E-F je navržen tak, aby jeho triadická struktura byla nejen teoreticky koherentní, ale také empiricky ověřitelná. Umožňuje převádět existující dvouosé modely </w:t>
      </w:r>
      <w:r w:rsidR="000572A6">
        <w:t>(</w:t>
      </w:r>
      <w:r>
        <w:t>Political Compass, typologie Pew Research Center, European Social Survey</w:t>
      </w:r>
      <w:r w:rsidR="000572A6">
        <w:t>)</w:t>
      </w:r>
      <w:r>
        <w:t xml:space="preserve"> do širšího interpretačního prostoru, což poskytuje první zdroj dat pro testování jeho předpokladů.</w:t>
      </w:r>
    </w:p>
    <w:p w14:paraId="7BE241BB" w14:textId="77777777" w:rsidR="005E7A17" w:rsidRDefault="00505045">
      <w:pPr>
        <w:pStyle w:val="Nadpis1"/>
      </w:pPr>
      <w:bookmarkStart w:id="4" w:name="X54c6e2e4367b4d065b60a3062a51198e2812b91"/>
      <w:bookmarkEnd w:id="3"/>
      <w:r>
        <w:t>3. Co je svoboda v modelu L-E-F: vymezení vůči klasickým pojetím</w:t>
      </w:r>
    </w:p>
    <w:p w14:paraId="7BE241BC" w14:textId="77777777" w:rsidR="005E7A17" w:rsidRDefault="00505045">
      <w:pPr>
        <w:pStyle w:val="FirstParagraph"/>
      </w:pPr>
      <w:r>
        <w:t>Pojmy liberté, égalité a fraternité jsou v modelu L-E-F používány jako analytické označení tří dimenzí politického prostoru, nikoli jako normativní ideály svobody v tradičním filozofickém smyslu. Toto rozlišení je zásadní a musí být explicitně vyjasněno, protože jinak hrozí, že model bude čten jako filozofické tvrzení o povaze svobody, ačkoli jde o analytický nástroj měřící tendence společenského pohybu.</w:t>
      </w:r>
    </w:p>
    <w:p w14:paraId="7BE241BD" w14:textId="77777777" w:rsidR="005E7A17" w:rsidRDefault="00505045">
      <w:pPr>
        <w:pStyle w:val="Nadpis2"/>
      </w:pPr>
      <w:bookmarkStart w:id="5" w:name="X96a2db6156416df1d5747f7a460b5c51ce4652b"/>
      <w:r>
        <w:lastRenderedPageBreak/>
        <w:t>3.1 Klasické pojetí: negativní a pozitivní svoboda</w:t>
      </w:r>
    </w:p>
    <w:p w14:paraId="7BE241BE" w14:textId="346B6BD4" w:rsidR="005E7A17" w:rsidRDefault="00505045">
      <w:pPr>
        <w:pStyle w:val="FirstParagraph"/>
      </w:pPr>
      <w:r>
        <w:t>Klasická politická filozofie rozlišuje mezi svobodou negativní a svobodou pozitivní. Toto rozlišení formuloval Isaiah Berlin ve své přednášce Two Concepts of Liberty</w:t>
      </w:r>
      <w:r>
        <w:rPr>
          <w:rStyle w:val="Znakapoznpodarou"/>
        </w:rPr>
        <w:footnoteReference w:id="12"/>
      </w:r>
      <w:r>
        <w:t>. Negativní svoboda je absence vnějšího omezení</w:t>
      </w:r>
      <w:r w:rsidR="006E09B7">
        <w:t>:</w:t>
      </w:r>
      <w:r>
        <w:t xml:space="preserve"> jedinec je svobodný do té míry, do jaké mu nikdo jiný nebrání jednat podle vlastní vůle. Pozitivní svoboda je naproti tomu schopnost sebeurčení, možnost být pánem sám sobě a naplnit vlastní racionálně zvolené cíle. Berlin varoval, že pozitivní pojetí svobody, důsledně dotažené, může sklouznout k ospravedlnění nátlaku ve jménu </w:t>
      </w:r>
      <w:r w:rsidR="00DB25CE">
        <w:t>„</w:t>
      </w:r>
      <w:r>
        <w:t>skutečného já</w:t>
      </w:r>
      <w:r w:rsidR="00DB25CE">
        <w:t>“</w:t>
      </w:r>
      <w:r>
        <w:t xml:space="preserve"> jedince</w:t>
      </w:r>
      <w:r w:rsidR="00DB25CE">
        <w:t xml:space="preserve"> </w:t>
      </w:r>
      <w:r>
        <w:t>a stát se tak nástrojem totalitní politiky.</w:t>
      </w:r>
    </w:p>
    <w:p w14:paraId="7BE241BF" w14:textId="1221C451" w:rsidR="005E7A17" w:rsidRDefault="00505045">
      <w:pPr>
        <w:pStyle w:val="Zkladntext"/>
      </w:pPr>
      <w:r>
        <w:t>Gerald MacCallum tuto dichotomii následně zpochybnil</w:t>
      </w:r>
      <w:r>
        <w:rPr>
          <w:rStyle w:val="Znakapoznpodarou"/>
        </w:rPr>
        <w:footnoteReference w:id="13"/>
      </w:r>
      <w:r>
        <w:t xml:space="preserve"> </w:t>
      </w:r>
      <w:r>
        <w:t xml:space="preserve">argumentem, že každý smysluplný výrok o svobodě má ve skutečnosti triadickou strukturu: jedinec je svobodný od nějakého omezení k tomu, aby mohl něco konat nebo se </w:t>
      </w:r>
      <w:r w:rsidR="0018258D">
        <w:t xml:space="preserve">něčím </w:t>
      </w:r>
      <w:r>
        <w:t>stát</w:t>
      </w:r>
      <w:r>
        <w:t>. Negativní a pozitivní svoboda podle MacCalluma nejsou dva odlišné druhy svobody, ale dvě různé interpretace téhož pojmu, které se liší v tom, co považují za relevantní omezení a co za relevantní cíl.</w:t>
      </w:r>
    </w:p>
    <w:p w14:paraId="7BE241C0" w14:textId="77777777" w:rsidR="005E7A17" w:rsidRDefault="00505045">
      <w:pPr>
        <w:pStyle w:val="Nadpis2"/>
      </w:pPr>
      <w:bookmarkStart w:id="6" w:name="sen-svoboda-jako-schopnost"/>
      <w:bookmarkEnd w:id="5"/>
      <w:r>
        <w:t>3.2 Sen: svoboda jako schopnost</w:t>
      </w:r>
    </w:p>
    <w:p w14:paraId="7BE241C1" w14:textId="77777777" w:rsidR="005E7A17" w:rsidRDefault="00505045">
      <w:pPr>
        <w:pStyle w:val="FirstParagraph"/>
      </w:pPr>
      <w:r>
        <w:t>Amartya Sen v díle Development as Freedom</w:t>
      </w:r>
      <w:r>
        <w:rPr>
          <w:rStyle w:val="Znakapoznpodarou"/>
        </w:rPr>
        <w:footnoteReference w:id="14"/>
      </w:r>
      <w:r>
        <w:t xml:space="preserve"> </w:t>
      </w:r>
      <w:r>
        <w:t>rozšířil diskusi o svobodě zásadním způsobem. Namísto formální přítomnosti nebo nepřítomnosti omezení navrhl měřit svobodu jako soubor substantivních schopností (capabilities), neboli skutečnou možnost dosáhnout stavů nebo způsobů jednání, které mají lidé důvod hodnotit. Podle Sena není svoboda ani pouhá absence překážek, ani formální právo zakotvené v ústavě, ale reálná, uplatnitelná možnost.</w:t>
      </w:r>
    </w:p>
    <w:p w14:paraId="7BE241C2" w14:textId="77777777" w:rsidR="005E7A17" w:rsidRDefault="00505045">
      <w:pPr>
        <w:pStyle w:val="Zkladntext"/>
      </w:pPr>
      <w:r>
        <w:t>Právě Senovo pojetí je modelu L-E-F pojmově nejbližší. Jednotlivé dimenze v L-E-F modelu nezachycují svobodu jako právo ani jako filozofický ideál, ale jako míru uplatňované možnosti.</w:t>
      </w:r>
    </w:p>
    <w:p w14:paraId="7BE241C3" w14:textId="77777777" w:rsidR="005E7A17" w:rsidRDefault="00505045">
      <w:pPr>
        <w:pStyle w:val="Nadpis2"/>
      </w:pPr>
      <w:bookmarkStart w:id="7" w:name="svoboda-v-l-e-f-tendence-nikoli-stav"/>
      <w:bookmarkEnd w:id="6"/>
      <w:r>
        <w:t>3.3 Svoboda v L-E-F: tendence, nikoli stav</w:t>
      </w:r>
    </w:p>
    <w:p w14:paraId="7BE241C4" w14:textId="30328CD2" w:rsidR="005E7A17" w:rsidRDefault="00505045">
      <w:pPr>
        <w:pStyle w:val="FirstParagraph"/>
      </w:pPr>
      <w:r>
        <w:t xml:space="preserve">V modelu L-E-F je svoboda chápána jako analytický vektor, což z ní dělá měřitelnou tendenci společenského pohybu v daném </w:t>
      </w:r>
      <w:r>
        <w:t>prostoru. Nejedná se tedy o normativní kategorií vyjadřující, která svoboda je žádoucí. Toto rozlišení funguje nezávisle ve všech třech dimenzích:</w:t>
      </w:r>
    </w:p>
    <w:p w14:paraId="7BE241C5" w14:textId="138E8314" w:rsidR="005E7A17" w:rsidRDefault="00505045">
      <w:pPr>
        <w:numPr>
          <w:ilvl w:val="0"/>
          <w:numId w:val="3"/>
        </w:numPr>
      </w:pPr>
      <w:r>
        <w:t xml:space="preserve">V dimenzi L </w:t>
      </w:r>
      <w:r w:rsidR="000025CB">
        <w:t>se jedná o</w:t>
      </w:r>
      <w:r>
        <w:t xml:space="preserve"> tendence směrem k rozptýlení mocenské hierarchie, čili k větší absenci dominance ve smyslu, který rozvinul Philip Pettit</w:t>
      </w:r>
      <w:r>
        <w:rPr>
          <w:rStyle w:val="Znakapoznpodarou"/>
        </w:rPr>
        <w:footnoteReference w:id="15"/>
      </w:r>
      <w:r>
        <w:t xml:space="preserve"> ve svém republikánském pojetí svobody jako neexistence libovolné moci jednoho aktéra nad druhým (kapitola 3.4).</w:t>
      </w:r>
    </w:p>
    <w:p w14:paraId="7BE241C6" w14:textId="74DD8FDB" w:rsidR="005E7A17" w:rsidRDefault="00505045">
      <w:pPr>
        <w:numPr>
          <w:ilvl w:val="0"/>
          <w:numId w:val="3"/>
        </w:numPr>
      </w:pPr>
      <w:r>
        <w:t xml:space="preserve">V dimenzi E </w:t>
      </w:r>
      <w:r w:rsidR="00396EDE">
        <w:t>jde o</w:t>
      </w:r>
      <w:r>
        <w:t xml:space="preserve"> tendence směrem k redistribuci ekonomických zdrojů, což odpovídá Senovu pojmu ekonomické schopnosti (economic capability).</w:t>
      </w:r>
    </w:p>
    <w:p w14:paraId="7BE241C7" w14:textId="21E43BA6" w:rsidR="005E7A17" w:rsidRDefault="00505045">
      <w:pPr>
        <w:numPr>
          <w:ilvl w:val="0"/>
          <w:numId w:val="3"/>
        </w:numPr>
      </w:pPr>
      <w:r>
        <w:lastRenderedPageBreak/>
        <w:t xml:space="preserve">V dimenzi F </w:t>
      </w:r>
      <w:r w:rsidR="00396EDE">
        <w:t>se pak jedná o</w:t>
      </w:r>
      <w:r>
        <w:t xml:space="preserve"> tendence směrem k otevřenosti kolektivní identity, což odpovídá tomu, co Sen jinde označuje jako kulturní svobodu</w:t>
      </w:r>
      <w:r>
        <w:rPr>
          <w:rStyle w:val="Znakapoznpodarou"/>
        </w:rPr>
        <w:footnoteReference w:id="16"/>
      </w:r>
      <w:r>
        <w:t>.</w:t>
      </w:r>
    </w:p>
    <w:p w14:paraId="7BE241C8" w14:textId="77777777" w:rsidR="005E7A17" w:rsidRDefault="00505045">
      <w:pPr>
        <w:pStyle w:val="FirstParagraph"/>
      </w:pPr>
      <w:r>
        <w:t>Model je v tomto smyslu hodnotově neutrální na osách E a F (o zvláštním postavení osy L viz 3.4 a 3.5.1), čili nepředpokládá, že vyšší hodnota E nebo F je sama o sobě lepší než nižší, pouze popisuje, kam se tendence společnosti nebo politického aktéra pohybuje a s jakými strukturálními důsledky je tento pohyb spojen.</w:t>
      </w:r>
    </w:p>
    <w:p w14:paraId="7BE241C9" w14:textId="77777777" w:rsidR="005E7A17" w:rsidRDefault="00505045">
      <w:pPr>
        <w:pStyle w:val="Nadpis2"/>
      </w:pPr>
      <w:bookmarkStart w:id="8" w:name="Xfaca5d730a53a09a3b894d077274aca7cf219ef"/>
      <w:bookmarkEnd w:id="7"/>
      <w:r>
        <w:t>3.4 Osa L nesleduje Senovu logiku: nedominance jako podmínka soutěže o moc</w:t>
      </w:r>
    </w:p>
    <w:p w14:paraId="7BE241CA" w14:textId="5486DC8A" w:rsidR="005E7A17" w:rsidRDefault="00505045">
      <w:pPr>
        <w:pStyle w:val="FirstParagraph"/>
      </w:pPr>
      <w:r>
        <w:t xml:space="preserve">Dimenze E a F jsou v kapitole 3.3 ukotveny v Senově schopnostním pojetí svobody, takže měří tendenci k uskutečněné možnosti, ne k formální nepřítomnosti překážky. Dimenze L je oproti tomu ukotvena výhradně v Pettitově republikánském pojetí nedominance. Tahle asymetrie je záměrná, a je nutné ji vysvětlit, protože jinak hrozí, že bude L nesprávně čteno stejnou optikou jako E a F. To by vedlo k tomu, že přímá participace občanů na rozhodování (více </w:t>
      </w:r>
      <w:r w:rsidR="00D40D45">
        <w:t>„</w:t>
      </w:r>
      <w:r>
        <w:t>uskutečněné možnosti</w:t>
      </w:r>
      <w:r w:rsidR="00D40D45">
        <w:t>“</w:t>
      </w:r>
      <w:r>
        <w:t xml:space="preserve"> ovlivňovat výsledek) by se mylně považovala za automatický nárůst L (jakkoli se to tak </w:t>
      </w:r>
      <w:r w:rsidR="0045475C">
        <w:t xml:space="preserve">někomu </w:t>
      </w:r>
      <w:r>
        <w:t>může intuitivně zdát).</w:t>
      </w:r>
    </w:p>
    <w:p w14:paraId="7BE241CB" w14:textId="179F5DFE" w:rsidR="005E7A17" w:rsidRDefault="00505045">
      <w:pPr>
        <w:pStyle w:val="Zkladntext"/>
      </w:pPr>
      <w:r>
        <w:t xml:space="preserve">Pettitovo pojetí nedominance se od Berlinovy negativní svobody </w:t>
      </w:r>
      <w:r>
        <w:t xml:space="preserve">principiálně liší: nejde o pouhou nepřítomnost aktuálního zásahu, ale o nepřítomnost </w:t>
      </w:r>
      <w:r w:rsidRPr="008C24A8">
        <w:t>libovolné</w:t>
      </w:r>
      <w:r>
        <w:t xml:space="preserve"> (</w:t>
      </w:r>
      <w:r w:rsidR="008C24A8">
        <w:t xml:space="preserve">čili doslova </w:t>
      </w:r>
      <w:r>
        <w:t xml:space="preserve">jakékoliv) moci, </w:t>
      </w:r>
      <w:r w:rsidR="008C24A8">
        <w:t>tedy</w:t>
      </w:r>
      <w:r>
        <w:t xml:space="preserve"> takové, kterou by bylo možné uplatňovat bez ohledu na zájmy a názory těch, na koho dopadá, protože by neexistoval způsob, jak její výkon efektivně napadnout. Totéž ale formuluje, empiričtěji a nezávisle na Pettitově filozofickém rámci, Robert Dahl ve své klasické definici polyarchie</w:t>
      </w:r>
      <w:r>
        <w:rPr>
          <w:rStyle w:val="Znakapoznpodarou"/>
        </w:rPr>
        <w:footnoteReference w:id="17"/>
      </w:r>
      <w:r>
        <w:t xml:space="preserve">: jednou ze dvou definičních os demokratického uspořádání je u Dahla </w:t>
      </w:r>
      <w:r w:rsidRPr="00191CC1">
        <w:t>veřejná soutěživost moci</w:t>
      </w:r>
      <w:r w:rsidRPr="00191CC1">
        <w:t xml:space="preserve"> </w:t>
      </w:r>
      <w:r>
        <w:t xml:space="preserve">(public contestation), tedy míra, do jaké je ve společnosti přípustná legitimní opozice, konkurenční soutěž o moc a možnost výkon moci napadnout a nahradit. Pettitův požadavek na kontestovatelnost a Dahlova soutěživost popisují ze dvou různých </w:t>
      </w:r>
      <w:r w:rsidR="00182920">
        <w:t xml:space="preserve">východisek </w:t>
      </w:r>
      <w:r>
        <w:t>tutéž strukturální podmínku: moc, kterou nelze legitimně napadnout a nahradit, je moc libovolná, bez ohledu na to, jak je aktuálně vykonávána.</w:t>
      </w:r>
    </w:p>
    <w:p w14:paraId="7BE241CC" w14:textId="15B2415F" w:rsidR="005E7A17" w:rsidRDefault="00505045">
      <w:pPr>
        <w:pStyle w:val="Zkladntext"/>
      </w:pPr>
      <w:r>
        <w:t xml:space="preserve">Z toho plyne důsledek, který je pro operacionalizaci L klíčový: apel na nezprostředkovanou </w:t>
      </w:r>
      <w:r w:rsidR="00EA0F62">
        <w:t>„</w:t>
      </w:r>
      <w:r>
        <w:t>vůli lidu</w:t>
      </w:r>
      <w:r w:rsidR="00EA0F62">
        <w:t>“</w:t>
      </w:r>
      <w:r>
        <w:t xml:space="preserve"> proti voleným zástupcům a institucím</w:t>
      </w:r>
      <w:r w:rsidRPr="00EA0F62">
        <w:t xml:space="preserve"> </w:t>
      </w:r>
      <w:r w:rsidRPr="00EA0F62">
        <w:t>není</w:t>
      </w:r>
      <w:r w:rsidRPr="00EA0F62">
        <w:t xml:space="preserve"> </w:t>
      </w:r>
      <w:r w:rsidRPr="00EA0F62">
        <w:t>r</w:t>
      </w:r>
      <w:r>
        <w:t xml:space="preserve">ůstem L ve smyslu tohoto modelu, i kdyby přinášel vyšší míru bezprostředního vlivu občana na konkrétní rozhodnutí (což by v Senově logice mohlo vypadat jako nárůst schopnosti). Je to naopak oslabením L, protože odstraňuje právě ty zprostředkující kanály, jako jsou nezávislé soudnictví, parlamentní opozice, svobodný tisk, pravidelné volby, které jsou základem férové soutěž o moc. Bez nich se ten, kdo si nárokuje reprezentovat </w:t>
      </w:r>
      <w:r w:rsidR="001A6321">
        <w:t>„</w:t>
      </w:r>
      <w:r>
        <w:t>lid</w:t>
      </w:r>
      <w:r w:rsidR="001A6321">
        <w:t>“</w:t>
      </w:r>
      <w:r>
        <w:t xml:space="preserve">, stává zdrojem potenciálně libovolné moci stejně jako by jím byla nekontrolovaná exekutiva nebo autoritářský vůdce: jednou získaná pozice </w:t>
      </w:r>
      <w:r w:rsidR="00707AC5">
        <w:t>„</w:t>
      </w:r>
      <w:r>
        <w:t>hlas</w:t>
      </w:r>
      <w:r w:rsidR="00707AC5">
        <w:t>em</w:t>
      </w:r>
      <w:r>
        <w:t xml:space="preserve"> lidu</w:t>
      </w:r>
      <w:r w:rsidR="00707AC5">
        <w:t>“</w:t>
      </w:r>
      <w:r>
        <w:t xml:space="preserve"> přestává být napadnutelná, protože veškerá </w:t>
      </w:r>
      <w:r>
        <w:t xml:space="preserve">opozice je z definice postavena proti </w:t>
      </w:r>
      <w:r w:rsidR="001259EC">
        <w:t xml:space="preserve">„vůli </w:t>
      </w:r>
      <w:r>
        <w:t>lidu</w:t>
      </w:r>
      <w:r w:rsidR="001259EC">
        <w:t>“</w:t>
      </w:r>
      <w:r>
        <w:t xml:space="preserve">. </w:t>
      </w:r>
      <w:r w:rsidR="00557E39">
        <w:t>Mediace</w:t>
      </w:r>
      <w:r w:rsidR="00340F00">
        <w:t xml:space="preserve"> prostřednictvím </w:t>
      </w:r>
      <w:r w:rsidR="004929A0">
        <w:t>i</w:t>
      </w:r>
      <w:r>
        <w:t>nstituc</w:t>
      </w:r>
      <w:r w:rsidR="00291BBF">
        <w:t>í</w:t>
      </w:r>
      <w:r>
        <w:t xml:space="preserve"> </w:t>
      </w:r>
      <w:r>
        <w:t>tedy není v L pojímána jako omezení svobody, které by bylo žádoucí odstranit ve jménu přímějšího vlivu lidu, ale jako podmínka, bez které férová soutěž o moc (nedominance) nemůže existovat. V praxi by neomezená libovolná moc</w:t>
      </w:r>
      <w:r w:rsidR="00081280">
        <w:t xml:space="preserve"> lidu</w:t>
      </w:r>
      <w:r>
        <w:t xml:space="preserve"> vedla k diktatuře většiny.</w:t>
      </w:r>
    </w:p>
    <w:p w14:paraId="7BE241CD" w14:textId="5D50A684" w:rsidR="005E7A17" w:rsidRDefault="00505045">
      <w:pPr>
        <w:pStyle w:val="Zkladntext"/>
      </w:pPr>
      <w:r>
        <w:lastRenderedPageBreak/>
        <w:t>Dodejme, že je myslitelné i opačné pojetí, které by se opíralo o jinou tradici (a problematiku přímé demokracie by řešilo opačně): participativní teorie (od Rousseaua po novější autory jako Carole Pateman nebo Benjamin Barber) chápe přímou účast lidu na rozhodování jako naplnění, ne ohrožení svobody, čili jako přesun moci blíž k těm, jichž se týká, ne jako její koncentraci. Model L-E-F se kloní k Pettitovi a Dahlovi</w:t>
      </w:r>
      <w:r>
        <w:t xml:space="preserve">, protože </w:t>
      </w:r>
      <w:r>
        <w:t>osa L je definována jako procedurální podmínka soutěživosti mocenských center</w:t>
      </w:r>
      <w:r>
        <w:t>, ne jako míra přímého vlivu jednotlivce na výsledek, což je ona distinkce, kterou participativní tradice nerozlišuje se stejnou důsledností (neřeší například, jak se v rámci neomezené participativní demokracie vyrovnat s rizikem diktatury většiny zmíněné v předcházejícím odstavci).</w:t>
      </w:r>
    </w:p>
    <w:p w14:paraId="7BE241CE" w14:textId="57CE52B3" w:rsidR="005E7A17" w:rsidRDefault="00505045">
      <w:pPr>
        <w:pStyle w:val="Zkladntext"/>
      </w:pPr>
      <w:r>
        <w:t>Toto rozlišení má přímý metodologický dopad: kdekoli operacionalizace L pracuje s položkami měřícími preferenci přímé, institucemi nezprostředkované participace nad zastupitelskými a kontrolními mechanismy (</w:t>
      </w:r>
      <w:r w:rsidR="00B22466">
        <w:t>„</w:t>
      </w:r>
      <w:r>
        <w:t>lid, ne politici, by měl dělat nejdůležitější politická rozhodnutí</w:t>
      </w:r>
      <w:r w:rsidR="00B22466">
        <w:t>“</w:t>
      </w:r>
      <w:r>
        <w:t>), je vysoká hodnota souhlasu s takovou preferencí kódována jako L−</w:t>
      </w:r>
      <w:r>
        <w:t>.</w:t>
      </w:r>
    </w:p>
    <w:p w14:paraId="7BE241CF" w14:textId="77777777" w:rsidR="005E7A17" w:rsidRDefault="00505045">
      <w:pPr>
        <w:pStyle w:val="Nadpis2"/>
      </w:pPr>
      <w:bookmarkStart w:id="9" w:name="Xef6808c2d0c99a817f4d9313319b08d7dd02182"/>
      <w:bookmarkEnd w:id="8"/>
      <w:r>
        <w:t>3.5 Proč jsou E a F substantivní a L procedurální</w:t>
      </w:r>
    </w:p>
    <w:p w14:paraId="7BE241D0" w14:textId="77777777" w:rsidR="005E7A17" w:rsidRDefault="00505045">
      <w:pPr>
        <w:pStyle w:val="Nadpis3"/>
      </w:pPr>
      <w:bookmarkStart w:id="10" w:name="rozdíl-v-povaze-os"/>
      <w:r>
        <w:t>3.5.1 Rozdíl v povaze os</w:t>
      </w:r>
    </w:p>
    <w:p w14:paraId="7BE241D1" w14:textId="54B6725F" w:rsidR="005E7A17" w:rsidRDefault="00505045">
      <w:pPr>
        <w:pStyle w:val="FirstParagraph"/>
      </w:pPr>
      <w:r>
        <w:t>Dimenze E a F, ukotvené v Senově schopnostním pojetí</w:t>
      </w:r>
      <w:r>
        <w:t xml:space="preserve">, popisují substantivní obsah kolektivního rozhodování, čili jaké uspořádání ekonomických zdrojů a kulturní identity společnost aktuálně drží. Dimenze L, </w:t>
      </w:r>
      <w:r w:rsidR="004D3F05">
        <w:t xml:space="preserve">založená na </w:t>
      </w:r>
      <w:r>
        <w:t xml:space="preserve">nedominanci a </w:t>
      </w:r>
      <w:r>
        <w:t>soutěživosti</w:t>
      </w:r>
      <w:r>
        <w:t xml:space="preserve">, popisuje něco kategoricky jiného: pravidla a způsoby, podle kterých se k substantivnímu obsahu dochází a podle kterých ho lze v budoucnu změnit. E a F odpovídají na </w:t>
      </w:r>
      <w:r w:rsidRPr="008D018B">
        <w:t xml:space="preserve">otázku </w:t>
      </w:r>
      <w:r w:rsidRPr="008D018B">
        <w:rPr>
          <w:b/>
          <w:bCs/>
        </w:rPr>
        <w:t>co</w:t>
      </w:r>
      <w:r w:rsidRPr="008D018B">
        <w:t>,</w:t>
      </w:r>
      <w:r>
        <w:t xml:space="preserve"> L odpovídá na </w:t>
      </w:r>
      <w:r w:rsidRPr="008D018B">
        <w:t xml:space="preserve">otázku </w:t>
      </w:r>
      <w:r w:rsidRPr="008D018B">
        <w:rPr>
          <w:b/>
          <w:bCs/>
        </w:rPr>
        <w:t>jak</w:t>
      </w:r>
      <w:r w:rsidRPr="008D018B">
        <w:t>.</w:t>
      </w:r>
    </w:p>
    <w:p w14:paraId="7BE241D2" w14:textId="4B7954FF" w:rsidR="005E7A17" w:rsidRDefault="00505045">
      <w:pPr>
        <w:pStyle w:val="Zkladntext"/>
      </w:pPr>
      <w:r>
        <w:t>Model L-E-F je hodnotově neutrální v tom smyslu, že jeho ambicí je hodnoty a jejich konfiguraci zaznamenat, nikoli kritizovat a doporučovat. Neutralita ale neplatí na všech osách stejně. Na osách E a F je úplná: model nepředpokládá, že by některý pól byl lepší. Na ose L je neutralita jen popisná: model netvrdí, že je liberální pól lepší, ale</w:t>
      </w:r>
      <w:r w:rsidR="00C408D7">
        <w:t xml:space="preserve"> </w:t>
      </w:r>
      <w:r>
        <w:t>je postaven na pojmu nedominance</w:t>
      </w:r>
      <w:r>
        <w:t xml:space="preserve">, takže pokles L popisuje jako ztrátu podmínky, za níž je soutěž o substantivní obsah vůbec možná. </w:t>
      </w:r>
      <w:r w:rsidR="00B4588F">
        <w:t>Můžeme proto hovořit o podmíněné neutralitě, přičemž podmínkou j</w:t>
      </w:r>
      <w:r w:rsidR="00BB7EAE">
        <w:t>e nedominance a soutěživo</w:t>
      </w:r>
      <w:r w:rsidR="00CA6854">
        <w:t xml:space="preserve">st. </w:t>
      </w:r>
      <w:r>
        <w:t xml:space="preserve">Na úrovni E a F, čili </w:t>
      </w:r>
      <w:r w:rsidR="00CA6854" w:rsidRPr="00CA6854">
        <w:rPr>
          <w:b/>
          <w:bCs/>
        </w:rPr>
        <w:t>co</w:t>
      </w:r>
      <w:r>
        <w:t xml:space="preserve"> je předmětem soutěže, nebo jaké jsou agregované (sdílené) společenské hodnoty, zda jde o více či méně přerozdělování, nebo o větší či menší kulturní otevřenost, není model odlišný od jiných modelů. Na úrovni L, čili </w:t>
      </w:r>
      <w:r w:rsidR="00610C42" w:rsidRPr="00610C42">
        <w:rPr>
          <w:b/>
          <w:bCs/>
        </w:rPr>
        <w:t>jak</w:t>
      </w:r>
      <w:r>
        <w:t xml:space="preserve"> je společnost organizována či řízena, zda více či méně autoritativními nástroji, nabízí model úplně nový metodologický i interpretační rámec. Osa L vlastně říká, jak je společnost „donucena” k E a F. Záznam konfigurace L-E-F staví </w:t>
      </w:r>
      <w:r w:rsidR="00ED66FC">
        <w:t xml:space="preserve">L, čili </w:t>
      </w:r>
      <w:r>
        <w:t>on</w:t>
      </w:r>
      <w:r w:rsidRPr="00ED66FC">
        <w:t xml:space="preserve">o </w:t>
      </w:r>
      <w:r w:rsidR="008D018B" w:rsidRPr="00ED66FC">
        <w:rPr>
          <w:b/>
          <w:bCs/>
        </w:rPr>
        <w:t>jak</w:t>
      </w:r>
      <w:r w:rsidR="00ED66FC">
        <w:t>,</w:t>
      </w:r>
      <w:r>
        <w:t xml:space="preserve"> na první místo.</w:t>
      </w:r>
    </w:p>
    <w:p w14:paraId="7BE241D3" w14:textId="77777777" w:rsidR="005E7A17" w:rsidRDefault="00505045">
      <w:pPr>
        <w:pStyle w:val="Zkladntext"/>
      </w:pPr>
      <w:r>
        <w:t>Osy E a F jsou čistě hodnotové, substantivní, kdežto osa L je až do svých krajních poloh procedurální, a substantivní se stane právě až při dosažení některé své krajní pozice (buď -2, nebo +2).</w:t>
      </w:r>
    </w:p>
    <w:p w14:paraId="7BE241D4" w14:textId="77777777" w:rsidR="005E7A17" w:rsidRDefault="00505045">
      <w:pPr>
        <w:pStyle w:val="Nadpis3"/>
      </w:pPr>
      <w:bookmarkStart w:id="11" w:name="X9a8196de9d8709225a1920078c83949d88c8ead"/>
      <w:bookmarkEnd w:id="10"/>
      <w:r>
        <w:t>3.5.2 Cena jako tlak na L: proč extrémní substantivní pozice vyžaduje potlačení soutěže</w:t>
      </w:r>
    </w:p>
    <w:p w14:paraId="7BE241D5" w14:textId="63DF2048" w:rsidR="005E7A17" w:rsidRDefault="00505045">
      <w:pPr>
        <w:pStyle w:val="FirstParagraph"/>
      </w:pPr>
      <w:r>
        <w:t xml:space="preserve">Z rozdílu mezi procedurální a substantivní povahou os plyne mechanismus, který model od svých nejranějších verzí tuší a reflektuje, ale </w:t>
      </w:r>
      <w:r w:rsidR="00DE40DB">
        <w:t xml:space="preserve">nedokáže ho </w:t>
      </w:r>
      <w:r>
        <w:t xml:space="preserve">definitivně rozhodnout. Lze empiricky odvodit, že čím nákladnější (krajnější) je substantivní pozice (čili programatika na osách E a F), tím větší je tlak na omezování soutěživosti systému. Jinými slovy je L tlačeno do záporných hodnot, </w:t>
      </w:r>
      <w:r w:rsidR="00277A12">
        <w:t>což nakonec může vést k</w:t>
      </w:r>
      <w:r>
        <w:t xml:space="preserve"> autoritativní spirál</w:t>
      </w:r>
      <w:r w:rsidR="00277A12">
        <w:t>e</w:t>
      </w:r>
      <w:r w:rsidR="007878D8">
        <w:t xml:space="preserve"> projevující se tak, že</w:t>
      </w:r>
      <w:r>
        <w:t xml:space="preserve"> se </w:t>
      </w:r>
      <w:r>
        <w:t>s</w:t>
      </w:r>
      <w:r w:rsidR="00DC5AF2">
        <w:t xml:space="preserve"> </w:t>
      </w:r>
      <w:r>
        <w:t>poklesem L (s nárůstem systémové opresivity)</w:t>
      </w:r>
      <w:r w:rsidR="00DC5AF2">
        <w:t xml:space="preserve"> </w:t>
      </w:r>
      <w:r>
        <w:t xml:space="preserve">posunují substantivní pozice </w:t>
      </w:r>
      <w:r>
        <w:t>více směrem ke svým extrémním polohám</w:t>
      </w:r>
      <w:r w:rsidR="00B3456A">
        <w:t xml:space="preserve"> a tím </w:t>
      </w:r>
      <w:r w:rsidR="007C2675">
        <w:t xml:space="preserve">opakovaně </w:t>
      </w:r>
      <w:r w:rsidR="00B3456A">
        <w:t>stahují L stále hlouběji do záporných hodnot.</w:t>
      </w:r>
    </w:p>
    <w:p w14:paraId="7BE241D6" w14:textId="77777777" w:rsidR="005E7A17" w:rsidRDefault="00505045">
      <w:pPr>
        <w:pStyle w:val="Zkladntext"/>
      </w:pPr>
      <w:r>
        <w:lastRenderedPageBreak/>
        <w:t>Uvažme společnost nebo aktéra, který drží extrémní substantivní pozici, čili E/F blízko -2, respektive +2. Pokud systém zůstává soutěživý (kladné či jen málo záporné L), tedy pokud existuje reálná, institucionálně zajištěná možnost tuhle pozici napadnout, zpochybnit a v příštím kole rozhodování změnit, pak udržení krajní pozice -2/+2 není samo o sobě v čase realistické, protože soutěživost z definice znamená, že žádná aktuální substantivní pozice není chráněná před revizí. Extrémní pozice, o kterých lze roz</w:t>
      </w:r>
      <w:r>
        <w:t>umně předpokládat, že je nesdílí celá společnost (jinak by nebyly extrémní vzhledem k rozložení preferencí), jsou vůči revizi zranitelnější než pozice blízké středu. Soutěživý politický systém má strukturální tendenci hledat svoje substantivní pozice v místech s největší koncentrací voličů.</w:t>
      </w:r>
    </w:p>
    <w:p w14:paraId="7BE241D7" w14:textId="50EF0B26" w:rsidR="005E7A17" w:rsidRDefault="00505045">
      <w:pPr>
        <w:pStyle w:val="Zkladntext"/>
      </w:pPr>
      <w:r>
        <w:t>Z toho plyne strategický důsledek, že pokud někdo chce udržet extrémní substantivní pozici trvale, nikoli pouze na jedno volební období, tak má přímý zájem na potlačení soutěživosti samotné. Z analytického hlediska je ale prakticky nemožné nalézt přesnou matematickou provázanost E/F a L. Lze pouze konstatovat, že trvale udržet extrémní substantivní pozice, znamená zablokovat mechanismy, které by mohly vést k oslabení či úplné erozi extrémní pozice. Z toho plyne, že existuje jakýsi bod zvratu, po jehož překr</w:t>
      </w:r>
      <w:r>
        <w:t xml:space="preserve">očení společnost systémově zamíří k extrémním polohám bez možnosti </w:t>
      </w:r>
      <w:r w:rsidR="00AF6B8B">
        <w:t xml:space="preserve">snadného </w:t>
      </w:r>
      <w:r>
        <w:t>návratu</w:t>
      </w:r>
      <w:r w:rsidR="00AC151E">
        <w:t>, protože se propadne do autoritativní spirály</w:t>
      </w:r>
      <w:r>
        <w:t>. Je rozumné se domnívat, že každá společnost má bod zvratu jinde, ale vždycky bod zvratu existuje.</w:t>
      </w:r>
    </w:p>
    <w:p w14:paraId="7BE241D8" w14:textId="7D8B938F" w:rsidR="005E7A17" w:rsidRDefault="00505045">
      <w:pPr>
        <w:pStyle w:val="Zkladntext"/>
      </w:pPr>
      <w:r>
        <w:t>Přesnou matematickou provázanost E/F a L sice neznáme, ale můžeme sledovat veličinu, která vyjadřuje celkovou substantivní vyhraněnost společnosti, a testovat, zda její růst předchází poklesu na ose L. Touto veličinou je autoritativní práh A</w:t>
      </w:r>
      <w:r>
        <w:t>: průměr čtverců poloh stran na osách E a F, vážený podílem hlasů. Druhá mocnina vyjadřuje předpoklad, že cena udržení substantivní pozice roste rychleji než lineárně se vzdáleností od středu; zdůvodnění tohoto předpokladu zůstává předmětem dalšího zkoumání.</w:t>
      </w:r>
    </w:p>
    <w:p w14:paraId="7BE241D9" w14:textId="3F019175" w:rsidR="005E7A17" w:rsidRDefault="00505045">
      <w:pPr>
        <w:pStyle w:val="Zkladntext"/>
      </w:pPr>
      <w:r>
        <w:t>Předchozí revize modelu stanovovala práh jako E² + F² &gt; 2, počítaný z agregované pozice společnosti. Tento výpočet měl dvě slabiny. Zaprvé se v agregované pozici vyruší protichůdné vyhraněnosti: společnost s výrazně levicovou a výrazně pravicovou stranou vypadá v průměru umírněně, přestože je ostře rozdělená. Zadruhé agregované hodnoty na osách E a F prahu 2 prakticky nedosahují, takže by práh téměř nikdy nebyl překročen. Současný výpočet proto nebere čtverec průměru, ale průměr čtverců, a zachycuje tak i r</w:t>
      </w:r>
      <w:r>
        <w:t>ozdělenost společnosti. Konkrétní hodnotu, nad níž tlak na osu L začíná být nebezpečný, je nutné kalibrovat na datech o epizodách demokratického úpadku</w:t>
      </w:r>
      <w:r>
        <w:t xml:space="preserve">. Je rozumné předpokládat, že se tato hodnota mezi společnostmi liší, takže </w:t>
      </w:r>
      <w:r>
        <w:t xml:space="preserve">je nutné </w:t>
      </w:r>
      <w:r>
        <w:t xml:space="preserve">číst </w:t>
      </w:r>
      <w:r w:rsidR="00C31EAA">
        <w:t xml:space="preserve">ji </w:t>
      </w:r>
      <w:r>
        <w:t>jako obecný indikátor, nikoli jako univerzální konstantu.</w:t>
      </w:r>
    </w:p>
    <w:p w14:paraId="7BE241DA" w14:textId="0D175A6A" w:rsidR="005E7A17" w:rsidRDefault="00505045">
      <w:pPr>
        <w:pStyle w:val="Zkladntext"/>
      </w:pPr>
      <w:r>
        <w:t>Autoritativní práh je obecnou vlastností jakékoli substantivní extremity: k bodu zvratu může vést krajní poloha na jedné ose i kombinace mírnějších extremit na obou osách současně. Toto zobecnění dává smysl v logice kapitoly 3.5.1: E i F jsou obě substantivní osy stejného druhu, obě popisují „co” má být dosaženo, nikoli „jak” toho má být dosaženo. Model tedy nerozlišuje, kterou substantivní cestou se společnost k bodu zvratu dostane, zda přes cíl extrémního přerozdělení, nebo přes extrémní kulturní homogeni</w:t>
      </w:r>
      <w:r>
        <w:t>zaci, nebo přes kombinaci obojího, protože z hlediska mechanismu popsaného výše je rozhodující jen celková substantivní vyhraněnost</w:t>
      </w:r>
      <w:r w:rsidR="00DC0CDC">
        <w:t xml:space="preserve"> společnosti</w:t>
      </w:r>
      <w:r>
        <w:t>.</w:t>
      </w:r>
    </w:p>
    <w:p w14:paraId="7BE241DB" w14:textId="79363E2B" w:rsidR="005E7A17" w:rsidRDefault="00505045">
      <w:pPr>
        <w:pStyle w:val="Zkladntext"/>
      </w:pPr>
      <w:r>
        <w:t xml:space="preserve">Pravidlo je však </w:t>
      </w:r>
      <w:r>
        <w:t xml:space="preserve">nezbytné číst dynamicky, nikoli staticky. Statické čtení by tvrdilo, že jakmile společnost dosáhne bodu </w:t>
      </w:r>
      <w:r w:rsidR="008809DB">
        <w:t>A</w:t>
      </w:r>
      <w:r>
        <w:t xml:space="preserve">, ocitne se okamžitě hluboko v záporných hodnotách na ose L a míra systémové opresivity systém automaticky </w:t>
      </w:r>
      <w:r w:rsidR="00A900A5">
        <w:t xml:space="preserve">spirálovitě </w:t>
      </w:r>
      <w:r>
        <w:t xml:space="preserve">překlopí do nesoutěživé autoritativního režimu. Tak to samozřejmě není. Model L-E-F byl navržen právě proto, aby otisk agregované společenské pozice zkoumal dynamicky v čase. Smyslem je včas rozpoznat </w:t>
      </w:r>
      <w:r>
        <w:lastRenderedPageBreak/>
        <w:t xml:space="preserve">varovné indikátory, že dochází k posunům </w:t>
      </w:r>
      <w:r w:rsidR="005A3E7C">
        <w:t>„</w:t>
      </w:r>
      <w:r>
        <w:t>směrem</w:t>
      </w:r>
      <w:r w:rsidR="005A3E7C">
        <w:t>“</w:t>
      </w:r>
      <w:r>
        <w:t xml:space="preserve"> k bodu zvratu (anebo třeba i k jeho jednorázovému překročení).</w:t>
      </w:r>
    </w:p>
    <w:p w14:paraId="7BE241DC" w14:textId="77777777" w:rsidR="005E7A17" w:rsidRDefault="00505045">
      <w:pPr>
        <w:pStyle w:val="Nadpis3"/>
      </w:pPr>
      <w:bookmarkStart w:id="12" w:name="X02c114d224e066e11a5b942665dbfae6c2792f3"/>
      <w:bookmarkEnd w:id="11"/>
      <w:r>
        <w:t>3.5.3 Substantivizace procedury: pravidlo hry se stává obsahem hry</w:t>
      </w:r>
    </w:p>
    <w:p w14:paraId="7BE241DD" w14:textId="416D0F80" w:rsidR="005E7A17" w:rsidRDefault="00562BB1">
      <w:pPr>
        <w:pStyle w:val="FirstParagraph"/>
      </w:pPr>
      <w:r>
        <w:t xml:space="preserve">Dosažení bodu zlomu A </w:t>
      </w:r>
      <w:r w:rsidR="00505045">
        <w:t xml:space="preserve">má ale ještě jeden důsledek, který stojí za samostatné vysvětlení. V soutěživém režimu, byť tendujícímu k autoritářství, zůstává L funkčně procedurální. </w:t>
      </w:r>
      <w:r w:rsidR="00CF405A" w:rsidRPr="00CF405A">
        <w:t>Procedura (L) určuje způsob, jakým se soutěží o substantivní pozice (E, F) a jak mohou být výsledky této soutěže revidovány. Obsah pozic (E, F) a procedurální rámec (L) tak zůstávají koncepčně oddělené.</w:t>
      </w:r>
      <w:r w:rsidR="00505045">
        <w:t xml:space="preserve"> I v krajně autoritativním režimu stále existuje nějaké reziduální L+, které nepustí celkové L až na hodnotu -2. Ale existuje výjimka v podobně totalitní společnosti. Pokud by L dosáhlo opravdu hodnoty -2, tak by přestaly ve společnosti existovat všechny projevy L+. To by zároveň znamenalo, že </w:t>
      </w:r>
      <w:r w:rsidR="00505045">
        <w:t xml:space="preserve">hodnotou </w:t>
      </w:r>
      <w:r w:rsidR="00435CF8">
        <w:t xml:space="preserve">společně </w:t>
      </w:r>
      <w:r w:rsidR="00505045">
        <w:t>sdílenou úplně všemi je L-2. Ve skutečné totalitě se tudíž ztráta systémové soutěživosti neděje kvůli ochraně extrémní E/F pozice, ale stává se cílem sama o sobě. Jinými slovy L přestává plnit svoji úlohu „jak” probíhá soutěž o E/F, ale L-2 se stává sama substantivní podstatou režimu (absence soutěže je to, co všichni považují za hodnotné).</w:t>
      </w:r>
    </w:p>
    <w:p w14:paraId="7BE241DE" w14:textId="77777777" w:rsidR="005E7A17" w:rsidRDefault="00505045">
      <w:pPr>
        <w:pStyle w:val="Zkladntext"/>
      </w:pPr>
      <w:r>
        <w:t>Je to důležitý analytický poznatek, který mimo jiné znamená, že skutečně totalitní se společnost může stát pouze za zcela unikátní situace v okamžiku, když jako celek přijme ideologii o „škodlivosti” soutěže. Tento závěr však otevírá filozofickou námitku, se kterou je nutné se explicitně vypořádat, protože jinak hrozí, že bude chápán jako mezera či chyba v modelu L-E-F: můžeme v limitním bodě L-2, kdy je ideologie natolik dokonale internalizována, že ji všichni občané autenticky sdílí a v jejím rámci prožív</w:t>
      </w:r>
      <w:r>
        <w:t>ají subjektivní štěstí, spíše než utrpení, vůbec ještě mluvit o opresivitě (vyjádřené číselně jako -2)? Neměří pak model na úrovni míry „udušení” společnosti něco, co ve skutečnosti jeho vlastní subjekty prožívají jako naplnění?</w:t>
      </w:r>
    </w:p>
    <w:p w14:paraId="7BE241DF" w14:textId="39FA11E2" w:rsidR="005E7A17" w:rsidRDefault="00505045">
      <w:pPr>
        <w:pStyle w:val="Zkladntext"/>
      </w:pPr>
      <w:r>
        <w:t>Odpověď na tuhle otázku nevyžaduje rozšíření modelu, protože je už obsažená v samotné Pettitově definici nedominance</w:t>
      </w:r>
      <w:r w:rsidR="002026C2">
        <w:t xml:space="preserve"> </w:t>
      </w:r>
      <w:r>
        <w:t>a je jedním z nejstarších argumentů republikánské tradice svobody. Pettit i jeho předchůdci (zejména Quentin Skinner, který republikánskou tradici Pettitovi zprostředkoval) ji ilustrují na klasickém příkladu laskavého pána: otrok, jehož pán je blahosklonný, nikdy ho netrestá a dává mu vše, co potřebuje, může být subjektivně šťastný, snad dokonce šťastnější než mnozí svobodní lidé své doby. Avšak podle republikánské tradice zůstává i tak nesvobodný, protože jeho štěstí je podmíněné a nejisté, neboť trvá pouz</w:t>
      </w:r>
      <w:r>
        <w:t>e tak dlouho, dokud se to pánovi líbí; není to štěstí institucionálně (procedurálně) zajištěné proti libovůli pána. Dominance je v té</w:t>
      </w:r>
      <w:r w:rsidR="0041205F">
        <w:t>to</w:t>
      </w:r>
      <w:r>
        <w:t xml:space="preserve"> tradici modální, ne fenomenologická vlastnost vztahu: rozhodující není, jestli je moc aktuálně vykonávána nepříjemně nebo jak je pociťována, ale jestli existuje kapacita k libovolnému zásahu, nezávisle na tom, zda je využita.</w:t>
      </w:r>
    </w:p>
    <w:p w14:paraId="7BE241E0" w14:textId="77777777" w:rsidR="005E7A17" w:rsidRDefault="00505045">
      <w:pPr>
        <w:pStyle w:val="Zkladntext"/>
      </w:pPr>
      <w:r>
        <w:t>Z toho plyne přesná odpověď na otázku položenou výše: model L neměří subjektivní stav toho, nad kým je moc vykonávána, a ani ho měřit nemá. Občan totalitního státu (= L-2), který prožívá autentické štěstí, protože ideologii bezvýhradně přijal, není z hlediska L o nic svobodnější, než by byl trpící odpůrce tuhého autoritativního režimu (&lt; L-2), protože podmínka jeho štěstí (že ideologii přijal a možnost pochybovat o ní se pro něj stala nemyslitelnou) je sama produktem téhož aparátu, který by ho jinak byl och</w:t>
      </w:r>
      <w:r>
        <w:t>oten k tomu fyzicky donutit. Model tím netvrdí, že je dotyčný ve skutečnosti nešťastný navzdory tomu, co sám prožívá. Tvrdí však, že subjektivní štěstí není proměnná, kterou L zachycuje, a že kdyby jí bylo, model by se stal neschopným rozlišit nedominanci od její nejdokonalejší formy potlačení.</w:t>
      </w:r>
    </w:p>
    <w:p w14:paraId="7BE241E1" w14:textId="26A28A0E" w:rsidR="005E7A17" w:rsidRDefault="00505045">
      <w:pPr>
        <w:pStyle w:val="Zkladntext"/>
      </w:pPr>
      <w:r>
        <w:t xml:space="preserve">Tahle poslední věta je důsledek samotné modální definice: stav, kdy internalizace ideologie znemožní i samotnou myšlenku disentu, není absencí dominance, nýbrž její nejúplnější, protože nejméně napadnutelnou formou. To se přesně shoduje s tím, co bylo výše popsáno jako </w:t>
      </w:r>
      <w:r>
        <w:lastRenderedPageBreak/>
        <w:t>okamžik, kdy L přestává být pravidlem hry a stává se obsahem hry (substantivizace procedury). Hannah Arendtová ve svém rozboru totalitarismu</w:t>
      </w:r>
      <w:r>
        <w:rPr>
          <w:rStyle w:val="Znakapoznpodarou"/>
        </w:rPr>
        <w:footnoteReference w:id="18"/>
      </w:r>
      <w:r>
        <w:t xml:space="preserve"> </w:t>
      </w:r>
      <w:r>
        <w:t>popisuje strukturně vlastně tentýž mechanismus jako „železnou logiku ideologie”: totalitní teror podle ní necílí primárně na vynucenou poslušnost navzdory vnitřnímu odporu, ale na přetvoření vnitřního života subjektů tak, aby autenticky chtěli to, co chce režim, a ztratili schopnost spontánního, pluralitního myšlení, které Arendtová označuje pojmem natalita. Shoda mezi Pettitovým modálním pojetím nedominance a Arendtové analýzou ideologického přetvoření vnitřního života vlastně není náhodná, jelikož obě tra</w:t>
      </w:r>
      <w:r>
        <w:t>dice, nezávisle na sobě a z různých východisek (analytická politická filozofie</w:t>
      </w:r>
      <w:r w:rsidR="001E09F2">
        <w:t xml:space="preserve"> a</w:t>
      </w:r>
      <w:r>
        <w:t xml:space="preserve"> fenomenologie totalitarismu), docházejí k témuž závěru:</w:t>
      </w:r>
      <w:r>
        <w:t xml:space="preserve"> </w:t>
      </w:r>
      <w:r>
        <w:rPr>
          <w:b/>
          <w:bCs/>
        </w:rPr>
        <w:t>nejhlubší forma nesvobody je taková, která se navenek nejméně podobá násilí, protože přestala potřebovat jeho viditelnou formu.</w:t>
      </w:r>
      <w:r>
        <w:t xml:space="preserve"> (Jinými slovy: </w:t>
      </w:r>
      <w:r>
        <w:rPr>
          <w:b/>
          <w:bCs/>
        </w:rPr>
        <w:t>z procedury se stalo substantivum</w:t>
      </w:r>
      <w:r>
        <w:t>.)</w:t>
      </w:r>
    </w:p>
    <w:p w14:paraId="6A32249F" w14:textId="31609431" w:rsidR="004C298A" w:rsidRDefault="004C298A">
      <w:pPr>
        <w:pStyle w:val="Zkladntext"/>
      </w:pPr>
      <w:r>
        <w:t>T</w:t>
      </w:r>
      <w:r w:rsidRPr="004C298A">
        <w:t xml:space="preserve">otalita je vymezena extrémní angažovaností na ose L−, ale nemá žádnou podmínku na osách E a F, takže totalitní režimy se liší tím, kterou substantivní osu obsadily. Příklad: sovětský typ </w:t>
      </w:r>
      <w:r w:rsidR="00F56B64">
        <w:t xml:space="preserve">z období teroru </w:t>
      </w:r>
      <w:r w:rsidRPr="004C298A">
        <w:t>jako L−3, E+3, F−1 a nacistický typ jako L−3, E+1, F−3.</w:t>
      </w:r>
    </w:p>
    <w:p w14:paraId="6B5A8B23" w14:textId="77777777" w:rsidR="002161F3" w:rsidRDefault="002161F3" w:rsidP="002161F3">
      <w:pPr>
        <w:pStyle w:val="Nadpis2"/>
      </w:pPr>
      <w:r w:rsidRPr="002161F3">
        <w:t>3.5.4 Substantivizace procedury směrem nahoru: hyperproceduralismus</w:t>
      </w:r>
    </w:p>
    <w:p w14:paraId="4F6E9713" w14:textId="559916AF" w:rsidR="008A6544" w:rsidRPr="008A6544" w:rsidRDefault="008A6544" w:rsidP="008A6544">
      <w:pPr>
        <w:pStyle w:val="Zkladntext"/>
      </w:pPr>
      <w:r>
        <w:t>Předchozí kapitola</w:t>
      </w:r>
      <w:r w:rsidRPr="008A6544">
        <w:t xml:space="preserve"> ukázala, že v krajní poloze na ose L− se procedura přestává chovat jako procedura a mění se v substanci: režim, který zrušil soutěž, už nenabízí způsob, jak se rozhodovat</w:t>
      </w:r>
      <w:r w:rsidR="00692B7F">
        <w:t xml:space="preserve"> mezi hodnotami</w:t>
      </w:r>
      <w:r w:rsidRPr="008A6544">
        <w:t>, ale předep</w:t>
      </w:r>
      <w:r w:rsidR="00DB7A4E">
        <w:t>isuje</w:t>
      </w:r>
      <w:r w:rsidRPr="008A6544">
        <w:t xml:space="preserve"> </w:t>
      </w:r>
      <w:r w:rsidR="00DB7A4E">
        <w:t>h</w:t>
      </w:r>
      <w:r w:rsidR="00692B7F">
        <w:t>odnotu</w:t>
      </w:r>
      <w:r w:rsidRPr="008A6544">
        <w:t>. Osa L má ale dva konce. Jestliže se procedura substantivizuje v jednom z nich, je nutné se ptát, co se děje ve druhém, tedy při extrémní angažovanosti na ose L+.</w:t>
      </w:r>
    </w:p>
    <w:p w14:paraId="455BCC3F" w14:textId="4FF82EF8" w:rsidR="00216B87" w:rsidRPr="00216B87" w:rsidRDefault="00216B87" w:rsidP="00216B87">
      <w:pPr>
        <w:pStyle w:val="Zkladntext"/>
      </w:pPr>
      <w:r w:rsidRPr="00E201A0">
        <w:t>Odpověď nedává geometrie, ale dynamika.</w:t>
      </w:r>
      <w:r w:rsidRPr="00216B87">
        <w:t xml:space="preserve"> Nabízí se argument, že v krajním bodě osy L už nezbývá místo pro substantivní obsah. Ten ale neplatí: extrémní angažovanost na všech třech osách současně je zcela možná, protože stupně angažovanosti se měří na původních souřadnicích, kde je poloha na všech osách krajní stejně legitimní jako kterákoli jiná.</w:t>
      </w:r>
      <w:r w:rsidR="000D5C41">
        <w:t xml:space="preserve"> Může tedy existovat</w:t>
      </w:r>
      <w:r w:rsidRPr="00216B87">
        <w:t xml:space="preserve"> i společnost, která </w:t>
      </w:r>
      <w:r w:rsidR="000D5C41">
        <w:t>by byla</w:t>
      </w:r>
      <w:r w:rsidRPr="00216B87">
        <w:t xml:space="preserve"> maximálně oddaná nedominaci a zároveň </w:t>
      </w:r>
      <w:r w:rsidR="001838AC">
        <w:t xml:space="preserve">by </w:t>
      </w:r>
      <w:r w:rsidRPr="00216B87">
        <w:t xml:space="preserve">se nesmiřitelně přela o hospodářství a kulturu. To </w:t>
      </w:r>
      <w:r w:rsidR="001838AC">
        <w:t>je</w:t>
      </w:r>
      <w:r w:rsidRPr="00216B87">
        <w:t xml:space="preserve"> popis silně polarizované liberální demokracie.</w:t>
      </w:r>
    </w:p>
    <w:p w14:paraId="6DB76A2C" w14:textId="5156EFCF" w:rsidR="00216B87" w:rsidRPr="00216B87" w:rsidRDefault="00216B87" w:rsidP="00216B87">
      <w:pPr>
        <w:pStyle w:val="Zkladntext"/>
      </w:pPr>
      <w:r w:rsidRPr="00216B87">
        <w:t>Asymetrie obou konců osy plyne z něčeho jiného než z tvaru prostoru</w:t>
      </w:r>
      <w:r w:rsidR="001838AC">
        <w:t xml:space="preserve">, a to </w:t>
      </w:r>
      <w:r w:rsidRPr="00216B87">
        <w:t>ze směru, kterým podle kapitoly 3.5.2 působí substantivní vyhraněnost. Ta tlačí procedurální osu vždy dolů, k autoritativnímu pólu, nikdy nahoru. Tentýž tlak má proto na každém konci osy jiný důsledek.</w:t>
      </w:r>
    </w:p>
    <w:p w14:paraId="3070F94B" w14:textId="73D43DC1" w:rsidR="00216B87" w:rsidRPr="00216B87" w:rsidRDefault="00216B87" w:rsidP="00216B87">
      <w:pPr>
        <w:pStyle w:val="Zkladntext"/>
      </w:pPr>
      <w:r w:rsidRPr="00216B87">
        <w:t xml:space="preserve">Na horním konci působí proti stavu, který tam panuje. Společnost, která je zároveň maximálně oddaná nedominaci a zároveň vyhraněná v obsahu, je pod stálým tlakem, jenž ji táhne od procedurálního pólu pryč; udržet ji tam lze jen trvalým přísunem energie ve smyslu kapitoly 11, tedy neustálou obnovou institucí a občanského étosu. Bez takového přísunu se stav sám od sebe nedrží. Jediná podoba krajní procedurální oddanosti, která tento tlak nemusí překonávat, je ta, v níž substantivní vyhraněnost chybí, protože pak </w:t>
      </w:r>
      <w:r w:rsidR="00122E28">
        <w:t>nezbývá nic,</w:t>
      </w:r>
      <w:r w:rsidRPr="00216B87">
        <w:t xml:space="preserve"> co by tlačilo. Extrémní procedurální oddanost je proto dlouhodobě udržitelná jen jako čistý profil bez substantivního obsahu.</w:t>
      </w:r>
    </w:p>
    <w:p w14:paraId="79188DE1" w14:textId="77777777" w:rsidR="00216B87" w:rsidRPr="00216B87" w:rsidRDefault="00216B87" w:rsidP="00216B87">
      <w:pPr>
        <w:pStyle w:val="Zkladntext"/>
      </w:pPr>
      <w:r w:rsidRPr="00216B87">
        <w:t>Na dolním konci působí tentýž tlak ve prospěch stavu, který tam panuje. Procedurální osa je už na dně, takže substantivní vyhraněnost nic nenarušuje; naopak režim drží, protože mu dodává obsah, jímž ospravedlňuje zrušení soutěže. Totalita proto vysoké hodnoty na osách E a F snese a podle kapitoly 3.5.2 je i potřebuje.</w:t>
      </w:r>
    </w:p>
    <w:p w14:paraId="3E07F690" w14:textId="0F707FC9" w:rsidR="00216B87" w:rsidRPr="00216B87" w:rsidRDefault="00216B87" w:rsidP="00216B87">
      <w:pPr>
        <w:pStyle w:val="Zkladntext"/>
      </w:pPr>
      <w:r w:rsidRPr="00216B87">
        <w:lastRenderedPageBreak/>
        <w:t>Z toho plyne, že totalita a hyperproceduralismus nejsou zrcadlové v tom smyslu, v jakém by se dalo čekat. Totalita není jediný bod, ale celá oblast prostoru vymezená extrémní angažovaností na ose L−, uvnitř níž se jednotlivé režimy liší tím, kterou substantivní osu obsadily.</w:t>
      </w:r>
      <w:r w:rsidR="00206CC4">
        <w:t xml:space="preserve"> </w:t>
      </w:r>
      <w:r w:rsidRPr="00216B87">
        <w:t>Hyperproceduralismus naproti tomu žádnou takovou volnost nemá</w:t>
      </w:r>
      <w:r w:rsidR="00206CC4">
        <w:t>, protože</w:t>
      </w:r>
      <w:r w:rsidRPr="00216B87">
        <w:t xml:space="preserve"> musí být čistým procedurálním profilem, tedy extrémní angažovaností na ose L+ při malé angažovanosti na obou substantivních osách.</w:t>
      </w:r>
    </w:p>
    <w:p w14:paraId="67F6439A" w14:textId="204F6E56" w:rsidR="008A6544" w:rsidRPr="008A6544" w:rsidRDefault="00216B87" w:rsidP="008A6544">
      <w:pPr>
        <w:pStyle w:val="Zkladntext"/>
      </w:pPr>
      <w:r w:rsidRPr="00216B87">
        <w:t>Hyperproceduralismus lze proto definovat bez odvolání na krajní bod prostoru:</w:t>
      </w:r>
      <w:r w:rsidR="004868B7">
        <w:t xml:space="preserve"> </w:t>
      </w:r>
      <w:r w:rsidR="004868B7" w:rsidRPr="00631333">
        <w:t>J</w:t>
      </w:r>
      <w:r w:rsidRPr="00631333">
        <w:t xml:space="preserve">e </w:t>
      </w:r>
      <w:r w:rsidR="004868B7" w:rsidRPr="00631333">
        <w:t xml:space="preserve">to </w:t>
      </w:r>
      <w:r w:rsidRPr="00631333">
        <w:t xml:space="preserve">stav, v němž mají všichni relevantní aktéři extrémní angažovanost na ose L+ </w:t>
      </w:r>
      <w:r w:rsidR="0028020D">
        <w:t>s</w:t>
      </w:r>
      <w:r w:rsidRPr="00631333">
        <w:t xml:space="preserve"> malou angažovanost</w:t>
      </w:r>
      <w:r w:rsidR="00362825">
        <w:t>í</w:t>
      </w:r>
      <w:r w:rsidRPr="00631333">
        <w:t xml:space="preserve"> na obou substantivních osách</w:t>
      </w:r>
      <w:r w:rsidR="0028020D">
        <w:t xml:space="preserve"> (</w:t>
      </w:r>
      <w:r w:rsidRPr="00631333">
        <w:t>takže na osu L připadá naprostá většina politické váhy společnosti a autoritativní práh se blíží nule</w:t>
      </w:r>
      <w:r w:rsidR="0028020D">
        <w:t>)</w:t>
      </w:r>
      <w:r w:rsidRPr="00631333">
        <w:t>.</w:t>
      </w:r>
      <w:r w:rsidR="00362825">
        <w:t xml:space="preserve"> </w:t>
      </w:r>
      <w:r w:rsidR="008A6544" w:rsidRPr="008A6544">
        <w:t>Totalita se definuje zrcadlově, ale volněji: extrémní angažovanost na ose L− bez jakékoli podmínky na osách E a F.</w:t>
      </w:r>
    </w:p>
    <w:p w14:paraId="6D8C56FD" w14:textId="488AB967" w:rsidR="008A6544" w:rsidRPr="008A6544" w:rsidRDefault="00862129" w:rsidP="008A6544">
      <w:pPr>
        <w:pStyle w:val="Zkladntext"/>
      </w:pPr>
      <w:r>
        <w:t xml:space="preserve">Substantivizace procedury </w:t>
      </w:r>
      <w:r w:rsidR="008A6544" w:rsidRPr="008A6544">
        <w:t>je jádr</w:t>
      </w:r>
      <w:r>
        <w:t>em</w:t>
      </w:r>
      <w:r w:rsidR="008A6544" w:rsidRPr="008A6544">
        <w:t xml:space="preserve"> Sandelovy kritiky </w:t>
      </w:r>
      <w:r>
        <w:t>„</w:t>
      </w:r>
      <w:r w:rsidR="008A6544" w:rsidRPr="008A6544">
        <w:t>procedurální republiky“: politika, která se prohlásí za neutrální vůči všem pojetím dobra, tím zaujímá vlastní stanovisko o tom, co je dobré, a vytlačuje z veřejného života otázky po účelu.</w:t>
      </w:r>
      <w:r w:rsidR="002603EA">
        <w:rPr>
          <w:rStyle w:val="Znakapoznpodarou"/>
        </w:rPr>
        <w:footnoteReference w:id="19"/>
      </w:r>
      <w:r w:rsidR="008A6544" w:rsidRPr="008A6544">
        <w:t xml:space="preserve"> Sandel popisuje reálnou tendenci moderních liberálních demokracií; model L-E-F z téhož jevu dělá mezní profil na měřitelné ose. V hyperproceduralismu přestala být soutěž způsobem rozhodování o obsahu a stala se jediným legitimním obsahem politického života.</w:t>
      </w:r>
    </w:p>
    <w:p w14:paraId="3BF22544" w14:textId="54592B59" w:rsidR="008A6544" w:rsidRPr="008A6544" w:rsidRDefault="00D85280" w:rsidP="008A6544">
      <w:pPr>
        <w:pStyle w:val="Zkladntext"/>
      </w:pPr>
      <w:r w:rsidRPr="00D85280">
        <w:t>T</w:t>
      </w:r>
      <w:r w:rsidR="008A6544" w:rsidRPr="00D85280">
        <w:t xml:space="preserve">akový stav </w:t>
      </w:r>
      <w:r w:rsidRPr="00D85280">
        <w:t>se</w:t>
      </w:r>
      <w:r>
        <w:t xml:space="preserve"> ale</w:t>
      </w:r>
      <w:r w:rsidRPr="00D85280">
        <w:t xml:space="preserve"> sám nemůže udržet</w:t>
      </w:r>
      <w:r w:rsidR="008A6544" w:rsidRPr="00D85280">
        <w:t>.</w:t>
      </w:r>
      <w:r w:rsidR="008A6544" w:rsidRPr="008A6544">
        <w:t xml:space="preserve"> Nedominace není samovolný stav, </w:t>
      </w:r>
      <w:r w:rsidR="00BB555D">
        <w:t>nýbrž</w:t>
      </w:r>
      <w:r w:rsidR="008A6544" w:rsidRPr="008A6544">
        <w:t xml:space="preserve"> stav udržovaný. Aby nic nenarušilo soutěž, musí existovat inst</w:t>
      </w:r>
      <w:r w:rsidR="00BB555D">
        <w:t>ituce</w:t>
      </w:r>
      <w:r w:rsidR="008A6544" w:rsidRPr="008A6544">
        <w:t xml:space="preserve">, která rozhoduje, které substantivní nároky ji narušují, a </w:t>
      </w:r>
      <w:r w:rsidR="00D17132">
        <w:t xml:space="preserve">musí je </w:t>
      </w:r>
      <w:r w:rsidR="00C363C4">
        <w:t xml:space="preserve">férově </w:t>
      </w:r>
      <w:r w:rsidR="008A6544" w:rsidRPr="008A6544">
        <w:t>potlač</w:t>
      </w:r>
      <w:r w:rsidR="00D17132">
        <w:t>it</w:t>
      </w:r>
      <w:r w:rsidR="008A6544" w:rsidRPr="008A6544">
        <w:t>. Tato inst</w:t>
      </w:r>
      <w:r w:rsidR="00C363C4">
        <w:t>itu</w:t>
      </w:r>
      <w:r w:rsidR="008A6544" w:rsidRPr="008A6544">
        <w:t>ce je ze své povahy nesoutěžní, protože o jejím vlastním rozhodování se soutěžit nesmí. Maximalizace nedominace tak plodí dominaci nového druhu: moc nad vymezením toho, co je ještě přípustný obsah politiky. Institucionální podobou tohoto paradoxu je militantní demokracie</w:t>
      </w:r>
      <w:r w:rsidR="009920B5">
        <w:t xml:space="preserve">, která </w:t>
      </w:r>
      <w:r w:rsidR="008A6544" w:rsidRPr="008A6544">
        <w:t>se brání tím, že omezuje soutěž o vlastní zrušení, a musí tedy autoritativně rozhodnout, které nároky do soutěže nepatří.</w:t>
      </w:r>
      <w:r w:rsidR="00B31D2C">
        <w:rPr>
          <w:rStyle w:val="Znakapoznpodarou"/>
        </w:rPr>
        <w:footnoteReference w:id="20"/>
      </w:r>
      <w:r w:rsidR="008A6544" w:rsidRPr="008A6544">
        <w:t xml:space="preserve"> </w:t>
      </w:r>
      <w:r w:rsidR="0063690A">
        <w:t>(To je</w:t>
      </w:r>
      <w:r w:rsidR="008A6544" w:rsidRPr="008A6544">
        <w:t xml:space="preserve"> zároveň jediný </w:t>
      </w:r>
      <w:r w:rsidR="0063690A">
        <w:t>možná</w:t>
      </w:r>
      <w:r w:rsidR="008A6544" w:rsidRPr="008A6544">
        <w:t xml:space="preserve"> projev pohybu ke kladnému konci osy za hranici funkce procedury.</w:t>
      </w:r>
      <w:r w:rsidR="0063690A">
        <w:t>)</w:t>
      </w:r>
    </w:p>
    <w:p w14:paraId="538C7732" w14:textId="2282FE4F" w:rsidR="008A6544" w:rsidRPr="008A6544" w:rsidRDefault="008A6544" w:rsidP="008A6544">
      <w:pPr>
        <w:pStyle w:val="Zkladntext"/>
      </w:pPr>
      <w:r w:rsidRPr="008A6544">
        <w:t>Zavedené termíny, zejména „čistý proceduralismus“ a „procedurální republika“, označují doktríny nebo stavy reálných režimů, o nichž se vede normativní spor. Hyperproceduralismus označuje mezní profil na měřitelné ose a je pojmem téhož druhu jako totalita. Předpona hyper- nese význam, který ostatní pojmy nemají: nejde o čistotu procedury, ale o překročení míry, při němž orgán přestává plnit svou funkci právě tím, že je maximalizován. A na rozdíl od zavedených pojmů je hyperproceduralismus operacionalizova</w:t>
      </w:r>
      <w:r w:rsidR="00E201A0">
        <w:t>tel</w:t>
      </w:r>
      <w:r w:rsidRPr="008A6544">
        <w:t>ný</w:t>
      </w:r>
      <w:r w:rsidR="00950E21">
        <w:t>, protože</w:t>
      </w:r>
      <w:r w:rsidRPr="008A6544">
        <w:t xml:space="preserve"> má jednoznačný otisk v salienci osy L a v hodnotě autoritativního prahu.</w:t>
      </w:r>
    </w:p>
    <w:p w14:paraId="4EC59CAB" w14:textId="2EBC11A5" w:rsidR="008A6544" w:rsidRPr="008A6544" w:rsidRDefault="008A6544" w:rsidP="008A6544">
      <w:pPr>
        <w:pStyle w:val="Zkladntext"/>
      </w:pPr>
      <w:r w:rsidRPr="008A6544">
        <w:t xml:space="preserve">Kapitoly 6.2 a 6.5 označují vrchol L+ jako ideální typ anarchie. Nejde o konkurenční určení, ale o </w:t>
      </w:r>
      <w:r w:rsidR="00CA1C8B">
        <w:t>jiné</w:t>
      </w:r>
      <w:r w:rsidRPr="008A6544">
        <w:t xml:space="preserve"> čtení téhož. Anarchie </w:t>
      </w:r>
      <w:r w:rsidR="00FB3A56">
        <w:t>t</w:t>
      </w:r>
      <w:r w:rsidRPr="008A6544">
        <w:t xml:space="preserve">o popisuje zvenčí: nikdo nemůže dominovat, protože neexistuje donucovací centrum. Hyperproceduralismus </w:t>
      </w:r>
      <w:r w:rsidR="00FB3A56">
        <w:t>t</w:t>
      </w:r>
      <w:r w:rsidRPr="008A6544">
        <w:t xml:space="preserve">o popisuje zevnitř, </w:t>
      </w:r>
      <w:r w:rsidR="00DD4F4B">
        <w:t xml:space="preserve">tedy </w:t>
      </w:r>
      <w:r w:rsidRPr="008A6544">
        <w:t>z hlediska udržitelnosti: stav, v němž nikdo nemůže dominovat, vyžaduje k udržení moc, která je z principu vyňata ze soutěže. Obě čtení dohromady vysvětlují, proč je vrchol L+ ideálním typem, a ne dosažitelnou polohou.</w:t>
      </w:r>
    </w:p>
    <w:p w14:paraId="0E182E5B" w14:textId="4AB0A3A8" w:rsidR="008A6544" w:rsidRPr="008A6544" w:rsidRDefault="008A6544" w:rsidP="008A6544">
      <w:pPr>
        <w:pStyle w:val="Zkladntext"/>
      </w:pPr>
      <w:r w:rsidRPr="008A6544">
        <w:lastRenderedPageBreak/>
        <w:t xml:space="preserve">Post-politika, technokratická depolitizace a teze o konci dějin znamenají, že se soutěž o substantivní obsah potlačuje shora, ve jménu odbornosti nebo nutnosti; v modelu jde o pohyb k pólu L−, protože se zužuje okruh těch, kdo mohou rozhodovat (kapitola 9.4). Hyperproceduralismus soutěž nepotlačuje, nýbrž ji absolutizuje. Od polarizované liberální demokracie se liší tím, že </w:t>
      </w:r>
      <w:r w:rsidR="00E93BD0">
        <w:t xml:space="preserve">zde </w:t>
      </w:r>
      <w:r w:rsidR="003851F6">
        <w:t>hodnotová polarizace</w:t>
      </w:r>
      <w:r w:rsidRPr="008A6544">
        <w:t xml:space="preserve"> klesá k nule.</w:t>
      </w:r>
    </w:p>
    <w:p w14:paraId="3A0A99A2" w14:textId="6F0618EA" w:rsidR="000C1582" w:rsidRDefault="008A6544">
      <w:pPr>
        <w:pStyle w:val="Zkladntext"/>
      </w:pPr>
      <w:r w:rsidRPr="008A6544">
        <w:t>Hyperproceduralismus je mezní profil, n</w:t>
      </w:r>
      <w:r w:rsidR="00E93BD0">
        <w:t>ikoliv</w:t>
      </w:r>
      <w:r w:rsidRPr="008A6544">
        <w:t xml:space="preserve"> typ režimu. Model netvrdí, že někde existoval; tvrdí, že oba konce osy L mají svůj mezní stav, v němž procedura přestává plnit svou funkci, a že asymetrie mezi nimi plyne z mechanismu popsaného v kapitole 3.5.2. Z toho plynou dvě testovatelné předpovědi (kapitola 12, hypotézy H20 a H21): salience osy L se v pozorovaných volbách nepřiblíží hodnotám, při nichž substantivní osy ztrácejí váhu, a neexistuje společnost, která by dlouhodobě spojovala vysokou procedurální oddanost s vysokým autoritativním prahem.</w:t>
      </w:r>
    </w:p>
    <w:p w14:paraId="7BE241E2" w14:textId="77777777" w:rsidR="005E7A17" w:rsidRDefault="00505045">
      <w:pPr>
        <w:pStyle w:val="Nadpis1"/>
      </w:pPr>
      <w:bookmarkStart w:id="13" w:name="Xdcf8bb84d2acc04f0f9e56e8cd996fa410efc74"/>
      <w:bookmarkEnd w:id="4"/>
      <w:bookmarkEnd w:id="9"/>
      <w:bookmarkEnd w:id="12"/>
      <w:r>
        <w:t>4. Tři dimenze jako antropologické konstanty</w:t>
      </w:r>
    </w:p>
    <w:p w14:paraId="7BE241E3" w14:textId="77777777" w:rsidR="005E7A17" w:rsidRDefault="00505045">
      <w:pPr>
        <w:pStyle w:val="Nadpis2"/>
      </w:pPr>
      <w:bookmarkStart w:id="14" w:name="tři-základní-štěpení"/>
      <w:r>
        <w:t>4.1 Tři základní štěpení</w:t>
      </w:r>
    </w:p>
    <w:p w14:paraId="7BE241E4" w14:textId="77777777" w:rsidR="005E7A17" w:rsidRDefault="00505045">
      <w:pPr>
        <w:pStyle w:val="FirstParagraph"/>
      </w:pPr>
      <w:r>
        <w:t>Klíčovým teoretickým příspěvkem L-E-F modelu je definice tří dimenzí jako antropologických konstant, čili štěpení přítomných v každé lidské společnosti, která dosáhla určité úrovně komplexity, bez ohledu na historické období nebo kulturní kontext. Toto tvrzení je nutné číst jako filozofický a antropologický předpoklad, který dostupná empirická data (pokrývající výhradně moderní stranické demokracie posledního století) nemohou přímo testovat.</w:t>
      </w:r>
    </w:p>
    <w:p w14:paraId="7BE241E5" w14:textId="77777777" w:rsidR="005E7A17" w:rsidRDefault="00505045">
      <w:pPr>
        <w:pStyle w:val="Zkladntext"/>
      </w:pPr>
      <w:r>
        <w:t>Dimenze L zachycuje hierarchii moci: kdo rozhoduje a kdo je podřízen. Toto štěpení existuje v každé lidské skupině od prvních tlup po moderní státy. Dimenze E zachycuje distribuci bohatství: jak se rozdělují zdroje a statky. Toto štěpení existuje od prvních zemědělských společností, které vytvořily přebytek umožňující nerovnou akumulaci. Dimenze F zachycuje hranici skupiny: kde jsou hranice kolektivní identity, koho považujeme za svého a koho za cizího. Toto štěpení existuje od prvních kmenových společností</w:t>
      </w:r>
      <w:r>
        <w:t xml:space="preserve"> a je předmětem zkoumání teorie sociální identity</w:t>
      </w:r>
      <w:r>
        <w:rPr>
          <w:rStyle w:val="Znakapoznpodarou"/>
        </w:rPr>
        <w:footnoteReference w:id="21"/>
      </w:r>
      <w:r>
        <w:t>, která ukazuje, že rozlišení mezi vlastní a cizí skupinou je jedním z nejrobustnějších psychologických mechanismů lidského sociálního chování.</w:t>
      </w:r>
    </w:p>
    <w:p w14:paraId="7BE241E6" w14:textId="77777777" w:rsidR="005E7A17" w:rsidRDefault="00505045">
      <w:pPr>
        <w:pStyle w:val="Zkladntext"/>
      </w:pPr>
      <w:r>
        <w:t>Tato tři štěpení odpovídají francouzské revoluční triádě liberté, égalité, fraternité. Francouzská revoluce intuitivně identifikovala tři základní napětí lidské společnosti a L-E-F model to využívá a formalizuje jako analytické dimenze politického prostoru. Ostatní politická štěpení (náboženská, geopolitická, ekologická, generační atd.) jsou v tomto rámci chápána buď jako odvozená od těchto tří základních, nebo jako kontextová: důležitá v konkrétních historických momentech, ale ne strukturálně stabilní např</w:t>
      </w:r>
      <w:r>
        <w:t>íč časem a kulturami.</w:t>
      </w:r>
    </w:p>
    <w:p w14:paraId="7BE241E7" w14:textId="77777777" w:rsidR="005E7A17" w:rsidRDefault="00505045">
      <w:pPr>
        <w:pStyle w:val="Zkladntext"/>
      </w:pPr>
      <w:r>
        <w:t>Model je v tomto smyslu teoreticky univerzální. Empirická aplikace je však omezena dostupností kvantifikovatelných dat, a tato práce se proto soustředí na moderní demokratické systémy s dostupnými volebními daty. Kvalitativní historické aplikace, jako jsou například římská republika, francouzská revoluce, autoritářské režimy dvacátého století, jsou možné a nabízejí zajímavé interpretační rámce, ale nejsou předmětem této práce.</w:t>
      </w:r>
    </w:p>
    <w:p w14:paraId="7BE241E8" w14:textId="77777777" w:rsidR="005E7A17" w:rsidRDefault="00505045">
      <w:pPr>
        <w:pStyle w:val="Nadpis2"/>
      </w:pPr>
      <w:bookmarkStart w:id="15" w:name="proč-je-demokracie-paradox"/>
      <w:bookmarkEnd w:id="14"/>
      <w:r>
        <w:lastRenderedPageBreak/>
        <w:t>4.2 Proč je demokracie paradox</w:t>
      </w:r>
    </w:p>
    <w:p w14:paraId="7BE241E9" w14:textId="77777777" w:rsidR="005E7A17" w:rsidRDefault="00505045">
      <w:pPr>
        <w:pStyle w:val="FirstParagraph"/>
      </w:pPr>
      <w:r>
        <w:t>Definice tří štěpení umožňuje zodpovědět klíčovou otázku, kterou si tradiční politologické modely obvykle nekladou: proč vůbec demokracie vzniká a přežívá, když konfigurace E+F− je stabilnějším atraktorem politického prostoru, jak bude argumentováno v kapitole 10?</w:t>
      </w:r>
    </w:p>
    <w:p w14:paraId="7BE241EA" w14:textId="295F8B41" w:rsidR="005E7A17" w:rsidRDefault="00505045">
      <w:pPr>
        <w:pStyle w:val="Zkladntext"/>
      </w:pPr>
      <w:r>
        <w:t>Konfigurace vládnutí založené na dominanci E+F− pracuje s kolektivními nároky, centralizací rozhodování a legitimizací zásahů ve jménu celku a je přirozeným spádem politické gravitace. Konfigurace L naproti tomu vyžaduje pluralitu aktérů, procedurální omezení moci a především internalizaci těchto principů jako přirozených hodnot, nikoli jako vnucených pravidel. Demokracie proto přežívá pouze tam, kde je L+ internalizováno jako přirozená hodnotová orientace</w:t>
      </w:r>
      <w:r w:rsidR="002C1FAA">
        <w:t>,</w:t>
      </w:r>
      <w:r>
        <w:t xml:space="preserve"> kde existuje to, co Montesquieu</w:t>
      </w:r>
      <w:r>
        <w:rPr>
          <w:rStyle w:val="Znakapoznpodarou"/>
        </w:rPr>
        <w:footnoteReference w:id="22"/>
      </w:r>
      <w:r>
        <w:t xml:space="preserve"> </w:t>
      </w:r>
      <w:r>
        <w:t>nazval esprit général a co Almond a Verba</w:t>
      </w:r>
      <w:r>
        <w:rPr>
          <w:rStyle w:val="Znakapoznpodarou"/>
        </w:rPr>
        <w:footnoteReference w:id="23"/>
      </w:r>
      <w:r>
        <w:t xml:space="preserve"> označili jako občanský étos (civic culture). Bez internalizovaného étosu jsou demokratické instituce, jak ukazuje i případ Výmarské republiky, prázdné formy, které může kdykoli vyprázdnit silná autorita nebo populistická mobilizace.</w:t>
      </w:r>
    </w:p>
    <w:p w14:paraId="7BE241EB" w14:textId="77777777" w:rsidR="005E7A17" w:rsidRDefault="00505045">
      <w:pPr>
        <w:pStyle w:val="Nadpis2"/>
      </w:pPr>
      <w:bookmarkStart w:id="16" w:name="Xf856c823379697bf0274c13c5370f5648c9af6b"/>
      <w:bookmarkEnd w:id="15"/>
      <w:r>
        <w:t>4.3 Propojení s tradicí výzkumu politické kultury</w:t>
      </w:r>
    </w:p>
    <w:p w14:paraId="50411973" w14:textId="77777777" w:rsidR="004D116E" w:rsidRPr="004D116E" w:rsidRDefault="004D116E" w:rsidP="004D116E">
      <w:pPr>
        <w:pStyle w:val="FirstParagraph"/>
      </w:pPr>
      <w:r w:rsidRPr="004D116E">
        <w:t>Gabriel Almond a Sidney Verba rozlišili tři typy politické kultury: parochiální, poddanskou a participační. V jazyce modelu L-E-F je nelze převést jako tři polohy v prostoru, protože popisují orientace jednotlivců, kdežto osy modelu zachycují pozice politických aktérů. Převést je ale lze jako tři způsoby, jak je obsazena osa L.</w:t>
      </w:r>
    </w:p>
    <w:p w14:paraId="6C7A334E" w14:textId="77777777" w:rsidR="004D116E" w:rsidRPr="004D116E" w:rsidRDefault="004D116E" w:rsidP="004D116E">
      <w:pPr>
        <w:pStyle w:val="FirstParagraph"/>
      </w:pPr>
      <w:r w:rsidRPr="004D116E">
        <w:t>Parochiální kultura znamená malou angažovanost na ose L: občan se k otázce uspořádání moci nevztahuje, protože si centrální moci téměř není vědom. Neznamená to nepřítomnost řádu; parochiální společnost je naopak hustě provázána tradičními vazbami sousedství, příbuzenství a místa. Tento tradicionalismus je v modelu latentním potenciálem pólu F−, který se do prostoru promítne teprve tehdy, když ho politický aktér mobilizuje jako program. Právě tímto způsobem vznikala většina nacionálních a nativistických stran.</w:t>
      </w:r>
    </w:p>
    <w:p w14:paraId="270F3212" w14:textId="77777777" w:rsidR="004D116E" w:rsidRPr="004D116E" w:rsidRDefault="004D116E" w:rsidP="004D116E">
      <w:pPr>
        <w:pStyle w:val="FirstParagraph"/>
      </w:pPr>
      <w:r w:rsidRPr="004D116E">
        <w:t>Poddanská kultura odpovídá pólu L−: občan je adresátem rozhodnutí, ale nepovažuje se za jejich spolutvůrce. O obsahu moci to samo o sobě nevypovídá, takže poddanská kultura má dvě varianty. Tradicionalistická (L−F−) staví na zvyku a náboženské autoritě, modernizační (L−F+) tradiční uspořádání aktivně rozbíjí; příkladem je kemalistické Turecko nebo sovětská kulturní politika. Model tím rozlišuje případy, které Almondova a Verbova typologie slučuje.</w:t>
      </w:r>
    </w:p>
    <w:p w14:paraId="0D00A466" w14:textId="5383ED15" w:rsidR="004D116E" w:rsidRPr="004D116E" w:rsidRDefault="004D116E" w:rsidP="004D116E">
      <w:pPr>
        <w:pStyle w:val="FirstParagraph"/>
      </w:pPr>
      <w:r w:rsidRPr="004D116E">
        <w:t>Participační kultura odpovídá pólu L+, ovšem jen ve své institucionální podobě, kdy se občan považuje za aktéra soutěže vedené podle pravidel. Ve své plebiscitární podobě, kdy se lid považuje za oprávněného rozhodovat přímo a proti institucím, patří podle kapitoly 3.4 k pólu L−. Toto rozdělení není teoretická jemnost: na expertních datech se položka o přímé vůli lidu chová téměř nezávisle na položkách o omezení moci a nezávislosti soudů.</w:t>
      </w:r>
    </w:p>
    <w:p w14:paraId="6CAF97F2" w14:textId="7A291624" w:rsidR="004D116E" w:rsidRPr="004D116E" w:rsidRDefault="004D116E" w:rsidP="004D116E">
      <w:pPr>
        <w:pStyle w:val="FirstParagraph"/>
      </w:pPr>
      <w:r w:rsidRPr="004D116E">
        <w:t xml:space="preserve">Klíčové tvrzení Almonda a Verby znělo, že stabilní demokracie nestojí na čistě participační kultuře, ale na směsi, v níž participační orientace převažují, aniž by poddanské a parochiální orientace zcela vymizely. V modelu tomu odpovídá očekávání, že stabilní demokracie nemá </w:t>
      </w:r>
      <w:r w:rsidRPr="004D116E">
        <w:lastRenderedPageBreak/>
        <w:t>maximální, nýbrž převažující liberální polaritu osy L při nezanedbatelném podílu malé angažovanosti</w:t>
      </w:r>
      <w:r w:rsidR="000122A0">
        <w:t>.</w:t>
      </w:r>
    </w:p>
    <w:p w14:paraId="7BE241EC" w14:textId="154356FF" w:rsidR="005E7A17" w:rsidRDefault="00505045">
      <w:pPr>
        <w:pStyle w:val="FirstParagraph"/>
      </w:pPr>
      <w:r>
        <w:t>Erozi občanské kultury popsal později Robert Putnam jako úbytek sociálního kapitálu a účasti na sdružování</w:t>
      </w:r>
      <w:r>
        <w:rPr>
          <w:rStyle w:val="Znakapoznpodarou"/>
        </w:rPr>
        <w:footnoteReference w:id="24"/>
      </w:r>
      <w:r>
        <w:t>, tedy jako oslabení téhož zdroje, který v modelu udržuje vysokou hodnotu na ose L, aniž by šlo o přímý politický útok na instituce. Ronald Inglehart a Christian Welzel</w:t>
      </w:r>
      <w:r>
        <w:rPr>
          <w:rStyle w:val="Znakapoznpodarou"/>
        </w:rPr>
        <w:footnoteReference w:id="25"/>
      </w:r>
      <w:r>
        <w:t xml:space="preserve"> empiricky doložili, že hodnotové posuny jsou generační, nikoli volební. Montesquieu a později Ralf Dahrendorf</w:t>
      </w:r>
      <w:r>
        <w:rPr>
          <w:rStyle w:val="Znakapoznpodarou"/>
        </w:rPr>
        <w:footnoteReference w:id="26"/>
      </w:r>
      <w:r>
        <w:t xml:space="preserve"> </w:t>
      </w:r>
      <w:r>
        <w:t>ukázali, že esprit général se mění pomalu a generačně, nikoli institucionálně. Dahrendorf svou často citovanou formulí odhadl, že ústavní pravidla lze změnit za šest měsíců, hospodářské poměry za šest let, ale zakotvení obojího v občanské společnosti trvá šedesát let; později tuto rétorickou zkratku upřesnil na „dvě generace”. Nejde o formální model, ale o odhad řádu času, který model L-E-F přebírá jako očekávaný horizont hodnotové změny.</w:t>
      </w:r>
    </w:p>
    <w:p w14:paraId="7BE241ED" w14:textId="77777777" w:rsidR="005E7A17" w:rsidRDefault="00505045">
      <w:pPr>
        <w:pStyle w:val="Zkladntext"/>
      </w:pPr>
      <w:r>
        <w:t>L-E-F model tyto tradice formalizuje: dimenze L, E, F jsou matematickým zachycením toho, co tyto tradice popisují kvalitativně.</w:t>
      </w:r>
    </w:p>
    <w:p w14:paraId="7BE241EE" w14:textId="77777777" w:rsidR="005E7A17" w:rsidRDefault="00505045">
      <w:pPr>
        <w:pStyle w:val="Nadpis1"/>
      </w:pPr>
      <w:bookmarkStart w:id="17" w:name="X8593beafa66c154420f8b571f2551ec3c2289c1"/>
      <w:bookmarkEnd w:id="13"/>
      <w:bookmarkEnd w:id="16"/>
      <w:r>
        <w:t>5. Konfliktní linie jako plnohodnotná štěpení: kritérium Bartoliniho a Maira</w:t>
      </w:r>
    </w:p>
    <w:p w14:paraId="7BE241EF" w14:textId="77777777" w:rsidR="005E7A17" w:rsidRDefault="00505045">
      <w:pPr>
        <w:pStyle w:val="FirstParagraph"/>
      </w:pPr>
      <w:r>
        <w:t>Definice tří dimenzí jako antropologických konstant vyžaduje odpověď na metodologickou otázku, kterou politická sociologie klade od klasické práce Lipseta a Rokkana</w:t>
      </w:r>
      <w:r>
        <w:rPr>
          <w:rStyle w:val="Znakapoznpodarou"/>
        </w:rPr>
        <w:footnoteReference w:id="27"/>
      </w:r>
      <w:r>
        <w:t>: za jakých podmínek se sociální rozdíl stává politickým štěpením (cleavage) — tedy trvalou, politicky mobilizovanou linií konfliktu, nikoli pouze přechodným rozdílem v postojích?</w:t>
      </w:r>
    </w:p>
    <w:p w14:paraId="7BE241F0" w14:textId="77777777" w:rsidR="005E7A17" w:rsidRDefault="00505045">
      <w:pPr>
        <w:pStyle w:val="Nadpis2"/>
      </w:pPr>
      <w:bookmarkStart w:id="18" w:name="X68ff07979a164d519920a36cb2db23df505fb8c"/>
      <w:r>
        <w:t>5.1 Tři nutné dimenze podle Bartoliniho a Maira</w:t>
      </w:r>
    </w:p>
    <w:p w14:paraId="7BE241F1" w14:textId="77777777" w:rsidR="005E7A17" w:rsidRDefault="00505045">
      <w:pPr>
        <w:pStyle w:val="FirstParagraph"/>
      </w:pPr>
      <w:r>
        <w:t>Nejpřesnější a v literatuře nejcitovanější odpověď na tuto otázku poskytli Stefano Bartolini a Peter Mair ve svém díle Identity, Competition, and Electoral Availability</w:t>
      </w:r>
      <w:r>
        <w:rPr>
          <w:rStyle w:val="Znakapoznpodarou"/>
        </w:rPr>
        <w:footnoteReference w:id="28"/>
      </w:r>
      <w:r>
        <w:t>. Argumentují, že plnohodnotné politické štěpení musí obsahovat tři složky současně — pokud chybí byť jedna z nich, jde pouze o dílčí rozdíl nebo konflikt, nikoli o plnohodnotné štěpení v přesném slova smyslu.</w:t>
      </w:r>
    </w:p>
    <w:p w14:paraId="7BE241F2" w14:textId="77777777" w:rsidR="005E7A17" w:rsidRDefault="00505045">
      <w:pPr>
        <w:pStyle w:val="Zkladntext"/>
      </w:pPr>
      <w:r>
        <w:t>Empirická dimenze je sociostrukturální základ konfliktu — tedy skutečná, objektivně pozorovatelná sociální skupina definovaná v sociodemografických termínech. Nejde o postoje, ale o demografickou a sociální realitu: kdo jsou aktéři konfliktu a jakou mají pozici ve společenské struktuře — třídní, náboženskou, regionální, jazykovou. Bez empirické dimenze existuje pouze abstraktní idea konfliktu, nikoli skutečné skupiny, které by ho nesly.</w:t>
      </w:r>
    </w:p>
    <w:p w14:paraId="7BE241F3" w14:textId="77777777" w:rsidR="005E7A17" w:rsidRDefault="00505045">
      <w:pPr>
        <w:pStyle w:val="Zkladntext"/>
      </w:pPr>
      <w:r>
        <w:lastRenderedPageBreak/>
        <w:t>Normativní dimenze je soubor hodnot a přesvědčení, který dává empirické skupině smysl a vědomí sebe sama jako skupiny</w:t>
      </w:r>
      <w:r>
        <w:rPr>
          <w:rStyle w:val="Znakapoznpodarou"/>
        </w:rPr>
        <w:footnoteReference w:id="29"/>
      </w:r>
      <w:r>
        <w:t>. Bez normativní dimenze existuje sociální skupina, ale bez sdíleného příběhu o tom, kdo jsme, proč konflikt vedeme a co chceme — a tedy bez politické mobilizační síly.</w:t>
      </w:r>
    </w:p>
    <w:p w14:paraId="7BE241F4" w14:textId="77777777" w:rsidR="005E7A17" w:rsidRDefault="00505045">
      <w:pPr>
        <w:pStyle w:val="Zkladntext"/>
      </w:pPr>
      <w:r>
        <w:t>Organizační (behaviorální) dimenze je soubor institucí, organizací a vzorců interakce, které konflikt politicky zprostředkovávají a udržují v čase</w:t>
      </w:r>
      <w:r>
        <w:rPr>
          <w:rStyle w:val="Znakapoznpodarou"/>
        </w:rPr>
        <w:footnoteReference w:id="30"/>
      </w:r>
      <w:r>
        <w:t>. Bez organizační dimenze zůstává konflikt latentní: existuje jako sociální napětí, ale nepřekládá se do trvalé politické soutěže.</w:t>
      </w:r>
    </w:p>
    <w:p w14:paraId="7BE241F5" w14:textId="77777777" w:rsidR="005E7A17" w:rsidRDefault="00505045">
      <w:pPr>
        <w:pStyle w:val="Nadpis2"/>
      </w:pPr>
      <w:bookmarkStart w:id="19" w:name="neplnohodnotné-konfliktní-linie"/>
      <w:bookmarkEnd w:id="18"/>
      <w:r>
        <w:t>5.2 Neplnohodnotné konfliktní linie</w:t>
      </w:r>
    </w:p>
    <w:p w14:paraId="7BE241F6" w14:textId="77777777" w:rsidR="005E7A17" w:rsidRDefault="00505045">
      <w:pPr>
        <w:pStyle w:val="FirstParagraph"/>
      </w:pPr>
      <w:r>
        <w:t>Klíčovým důsledkem Bartoliniho a Mairova kritéria je, že řada rozdílů, které se v politickém diskurzu označují jako 'štěpení', tuto klasifikaci ve skutečnosti nesplňuje. Typickým sporným případem je vzdělanostní konflikt. Starší čtení tvrdilo, že má silnou empirickou a normativní dimenzi, ale chybí mu organizační ukotvení srovnatelné s odbory nebo církvemi. Novější výzkum Hooghe a Markse</w:t>
      </w:r>
      <w:r>
        <w:rPr>
          <w:rStyle w:val="Znakapoznpodarou"/>
        </w:rPr>
        <w:footnoteReference w:id="31"/>
      </w:r>
      <w:r>
        <w:t xml:space="preserve"> </w:t>
      </w:r>
      <w:r>
        <w:t>tento závěr obrací: podle jejich měření vzdělání dnes strukturuje volbu stran typu GAL a TAN v západní Evropě přinejmenším tak silně, jako třídní příslušnost strukturovala sociálnědemokratické strany v padesátých letech, takže organizační složka není nepřítomná, jen má jinou podobu než masová organizace dvacátého století. Pro model L-E-F z toho plyne důsledek, který je nutné říct otevřeně: kritérium tří složek nerozhoduje jednou provždy, která linie je „plnohodnotná”, protože organizační složka může být sla</w:t>
      </w:r>
      <w:r>
        <w:t>bá v jednom období a silná v jiném. Model proto kritérium používá jako argument pro trvanlivost tří základních dimenzí, ne jako důkaz, že jiné linie nemohou nabýt srovnatelné síly.</w:t>
      </w:r>
    </w:p>
    <w:p w14:paraId="7BE241F7" w14:textId="77777777" w:rsidR="005E7A17" w:rsidRDefault="00505045">
      <w:pPr>
        <w:pStyle w:val="Zkladntext"/>
      </w:pPr>
      <w:r>
        <w:t>Tento rozdíl mezi plnohodnotným štěpením a pouhým konfliktem je pro L-E-F model zásadní, protože poskytuje externí, na literatuře založené kritérium pro obhajobu tvrzení, že L, E a F jsou skutečně tři privilegované, strukturálně stabilní dimenze politického konfliktu — nikoli tři z libovolně mnoha možných os.</w:t>
      </w:r>
    </w:p>
    <w:p w14:paraId="7BE241F8" w14:textId="77777777" w:rsidR="005E7A17" w:rsidRDefault="00505045">
      <w:pPr>
        <w:pStyle w:val="Nadpis2"/>
      </w:pPr>
      <w:bookmarkStart w:id="20" w:name="l-e-f-dimenze-jako-plnohodnotná-štěpení"/>
      <w:bookmarkEnd w:id="19"/>
      <w:r>
        <w:t>5.3 L-E-F dimenze jako plnohodnotná štěpení</w:t>
      </w:r>
    </w:p>
    <w:tbl>
      <w:tblPr>
        <w:tblStyle w:val="Table"/>
        <w:tblW w:w="9072" w:type="dxa"/>
        <w:tblLayout w:type="fixed"/>
        <w:tblLook w:val="0020" w:firstRow="1" w:lastRow="0" w:firstColumn="0" w:lastColumn="0" w:noHBand="0" w:noVBand="0"/>
      </w:tblPr>
      <w:tblGrid>
        <w:gridCol w:w="1077"/>
        <w:gridCol w:w="2665"/>
        <w:gridCol w:w="2665"/>
        <w:gridCol w:w="2665"/>
      </w:tblGrid>
      <w:tr w:rsidR="005E7A17" w14:paraId="7BE241FD" w14:textId="77777777" w:rsidTr="005E7A17">
        <w:trPr>
          <w:cnfStyle w:val="100000000000" w:firstRow="1" w:lastRow="0" w:firstColumn="0" w:lastColumn="0" w:oddVBand="0" w:evenVBand="0" w:oddHBand="0" w:evenHBand="0" w:firstRowFirstColumn="0" w:firstRowLastColumn="0" w:lastRowFirstColumn="0" w:lastRowLastColumn="0"/>
          <w:tblHeader/>
        </w:trPr>
        <w:tc>
          <w:tcPr>
            <w:tcW w:w="1077" w:type="dxa"/>
          </w:tcPr>
          <w:p w14:paraId="7BE241F9" w14:textId="77777777" w:rsidR="005E7A17" w:rsidRDefault="00505045">
            <w:pPr>
              <w:pStyle w:val="Compact"/>
            </w:pPr>
            <w:r>
              <w:rPr>
                <w:b/>
                <w:bCs/>
              </w:rPr>
              <w:t>Dimenze</w:t>
            </w:r>
          </w:p>
        </w:tc>
        <w:tc>
          <w:tcPr>
            <w:tcW w:w="2665" w:type="dxa"/>
          </w:tcPr>
          <w:p w14:paraId="7BE241FA" w14:textId="77777777" w:rsidR="005E7A17" w:rsidRDefault="00505045">
            <w:pPr>
              <w:pStyle w:val="Compact"/>
            </w:pPr>
            <w:r>
              <w:rPr>
                <w:b/>
                <w:bCs/>
              </w:rPr>
              <w:t>Empirická složka</w:t>
            </w:r>
          </w:p>
        </w:tc>
        <w:tc>
          <w:tcPr>
            <w:tcW w:w="2665" w:type="dxa"/>
          </w:tcPr>
          <w:p w14:paraId="7BE241FB" w14:textId="77777777" w:rsidR="005E7A17" w:rsidRDefault="00505045">
            <w:pPr>
              <w:pStyle w:val="Compact"/>
            </w:pPr>
            <w:r>
              <w:rPr>
                <w:b/>
                <w:bCs/>
              </w:rPr>
              <w:t>Normativní složka</w:t>
            </w:r>
          </w:p>
        </w:tc>
        <w:tc>
          <w:tcPr>
            <w:tcW w:w="2665" w:type="dxa"/>
          </w:tcPr>
          <w:p w14:paraId="7BE241FC" w14:textId="77777777" w:rsidR="005E7A17" w:rsidRDefault="00505045">
            <w:pPr>
              <w:pStyle w:val="Compact"/>
            </w:pPr>
            <w:r>
              <w:rPr>
                <w:b/>
                <w:bCs/>
              </w:rPr>
              <w:t>Organizační složka</w:t>
            </w:r>
          </w:p>
        </w:tc>
      </w:tr>
      <w:tr w:rsidR="005E7A17" w14:paraId="7BE24202" w14:textId="77777777" w:rsidTr="005E7A17">
        <w:tc>
          <w:tcPr>
            <w:tcW w:w="1077" w:type="dxa"/>
          </w:tcPr>
          <w:p w14:paraId="7BE241FE" w14:textId="77777777" w:rsidR="005E7A17" w:rsidRDefault="00505045">
            <w:pPr>
              <w:pStyle w:val="Compact"/>
            </w:pPr>
            <w:r>
              <w:t>L</w:t>
            </w:r>
          </w:p>
        </w:tc>
        <w:tc>
          <w:tcPr>
            <w:tcW w:w="2665" w:type="dxa"/>
          </w:tcPr>
          <w:p w14:paraId="7BE241FF" w14:textId="77777777" w:rsidR="005E7A17" w:rsidRDefault="00505045">
            <w:pPr>
              <w:pStyle w:val="Compact"/>
            </w:pPr>
            <w:r>
              <w:t>Vládnoucí vs. ovládané skupiny; byrokratické a mocenské elity vs. občané</w:t>
            </w:r>
          </w:p>
        </w:tc>
        <w:tc>
          <w:tcPr>
            <w:tcW w:w="2665" w:type="dxa"/>
          </w:tcPr>
          <w:p w14:paraId="7BE24200" w14:textId="77777777" w:rsidR="005E7A17" w:rsidRDefault="00505045">
            <w:pPr>
              <w:pStyle w:val="Compact"/>
            </w:pPr>
            <w:r>
              <w:t>Ideály autonomie, právního státu, participace vs. ideály řádu a autority</w:t>
            </w:r>
          </w:p>
        </w:tc>
        <w:tc>
          <w:tcPr>
            <w:tcW w:w="2665" w:type="dxa"/>
          </w:tcPr>
          <w:p w14:paraId="7BE24201" w14:textId="77777777" w:rsidR="005E7A17" w:rsidRDefault="00505045">
            <w:pPr>
              <w:pStyle w:val="Compact"/>
            </w:pPr>
            <w:r>
              <w:t>Občanská hnutí, ústavní strany, liberální a autoritářské proudy</w:t>
            </w:r>
          </w:p>
        </w:tc>
      </w:tr>
      <w:tr w:rsidR="005E7A17" w14:paraId="7BE24207" w14:textId="77777777" w:rsidTr="005E7A17">
        <w:tc>
          <w:tcPr>
            <w:tcW w:w="1077" w:type="dxa"/>
          </w:tcPr>
          <w:p w14:paraId="7BE24203" w14:textId="77777777" w:rsidR="005E7A17" w:rsidRDefault="00505045">
            <w:pPr>
              <w:pStyle w:val="Compact"/>
            </w:pPr>
            <w:r>
              <w:t>E</w:t>
            </w:r>
          </w:p>
        </w:tc>
        <w:tc>
          <w:tcPr>
            <w:tcW w:w="2665" w:type="dxa"/>
          </w:tcPr>
          <w:p w14:paraId="7BE24204" w14:textId="77777777" w:rsidR="005E7A17" w:rsidRDefault="00505045">
            <w:pPr>
              <w:pStyle w:val="Compact"/>
            </w:pPr>
            <w:r>
              <w:t xml:space="preserve">Vlastníci kapitálu vs. námezdní pracující; </w:t>
            </w:r>
            <w:r>
              <w:lastRenderedPageBreak/>
              <w:t>třídní struktura</w:t>
            </w:r>
          </w:p>
        </w:tc>
        <w:tc>
          <w:tcPr>
            <w:tcW w:w="2665" w:type="dxa"/>
          </w:tcPr>
          <w:p w14:paraId="7BE24205" w14:textId="77777777" w:rsidR="005E7A17" w:rsidRDefault="00505045">
            <w:pPr>
              <w:pStyle w:val="Compact"/>
            </w:pPr>
            <w:r>
              <w:lastRenderedPageBreak/>
              <w:t xml:space="preserve">Ideály rovnosti a přerozdělení vs. ideály </w:t>
            </w:r>
            <w:r>
              <w:lastRenderedPageBreak/>
              <w:t>zásluhovosti a trhu</w:t>
            </w:r>
          </w:p>
        </w:tc>
        <w:tc>
          <w:tcPr>
            <w:tcW w:w="2665" w:type="dxa"/>
          </w:tcPr>
          <w:p w14:paraId="7BE24206" w14:textId="77777777" w:rsidR="005E7A17" w:rsidRDefault="00505045">
            <w:pPr>
              <w:pStyle w:val="Compact"/>
            </w:pPr>
            <w:r>
              <w:lastRenderedPageBreak/>
              <w:t xml:space="preserve">Odbory, socialistické a dělnické strany </w:t>
            </w:r>
            <w:r>
              <w:lastRenderedPageBreak/>
              <w:t>vs. podnikatelské a liberální strany</w:t>
            </w:r>
          </w:p>
        </w:tc>
      </w:tr>
      <w:tr w:rsidR="005E7A17" w14:paraId="7BE2420C" w14:textId="77777777" w:rsidTr="005E7A17">
        <w:tc>
          <w:tcPr>
            <w:tcW w:w="1077" w:type="dxa"/>
          </w:tcPr>
          <w:p w14:paraId="7BE24208" w14:textId="77777777" w:rsidR="005E7A17" w:rsidRDefault="00505045">
            <w:pPr>
              <w:pStyle w:val="Compact"/>
            </w:pPr>
            <w:r>
              <w:lastRenderedPageBreak/>
              <w:t>F</w:t>
            </w:r>
          </w:p>
        </w:tc>
        <w:tc>
          <w:tcPr>
            <w:tcW w:w="2665" w:type="dxa"/>
          </w:tcPr>
          <w:p w14:paraId="7BE24209" w14:textId="77777777" w:rsidR="005E7A17" w:rsidRDefault="00505045">
            <w:pPr>
              <w:pStyle w:val="Compact"/>
            </w:pPr>
            <w:r>
              <w:t>Etnické, náboženské a regionální skupiny; menšiny vs. majorita</w:t>
            </w:r>
          </w:p>
        </w:tc>
        <w:tc>
          <w:tcPr>
            <w:tcW w:w="2665" w:type="dxa"/>
          </w:tcPr>
          <w:p w14:paraId="7BE2420A" w14:textId="77777777" w:rsidR="005E7A17" w:rsidRDefault="00505045">
            <w:pPr>
              <w:pStyle w:val="Compact"/>
            </w:pPr>
            <w:r>
              <w:t>Ideály kulturní kontinuity a tradice vs. ideály pluralismu a inkluze</w:t>
            </w:r>
          </w:p>
        </w:tc>
        <w:tc>
          <w:tcPr>
            <w:tcW w:w="2665" w:type="dxa"/>
          </w:tcPr>
          <w:p w14:paraId="7BE2420B" w14:textId="77777777" w:rsidR="005E7A17" w:rsidRDefault="00505045">
            <w:pPr>
              <w:pStyle w:val="Compact"/>
            </w:pPr>
            <w:r>
              <w:t>Církve, národní hnutí, konzervativní strany vs. progresivní a menšinová hnutí</w:t>
            </w:r>
          </w:p>
        </w:tc>
      </w:tr>
    </w:tbl>
    <w:p w14:paraId="7BE2420D" w14:textId="77777777" w:rsidR="005E7A17" w:rsidRDefault="00505045">
      <w:pPr>
        <w:pStyle w:val="Zkladntext"/>
      </w:pPr>
      <w:r>
        <w:t>Tabulka ukazuje, že osy E a F splňují Bartoliniho a Mairovo kritérium ve všech třech složkách způsobem, který doložila klasická práce Lipseta a Rokkana</w:t>
      </w:r>
      <w:r>
        <w:rPr>
          <w:rStyle w:val="Znakapoznpodarou"/>
        </w:rPr>
        <w:footnoteReference w:id="32"/>
      </w:r>
      <w:r>
        <w:t xml:space="preserve"> </w:t>
      </w:r>
      <w:r>
        <w:t>o formování evropských stranických systémů podél třídních a náboženských rozdílů. U osy L je situace odlišná a je třeba ji přiznat: „vládnoucí versus ovládaní” není sociodemografická skupina v témže smyslu jako třída nebo konfese a organizační složka osy L nemá podobu stavovské organizace, ale institucí soutěže samotné (opozice, soudy, svobodný tisk, občanská hnutí). Osa L je tedy spíše režimní, procedurální dimenzí než štěpením v úzkém Bartoliniho a Mairově smyslu, což je v souladu s jejím vymezením v kapi</w:t>
      </w:r>
      <w:r>
        <w:t>tole 3.5. Tvrzení o platnosti napříč historickými obdobími a geografickými kontexty je v modelu předpokladem (kapitola 4.1), nikoli doloženým zjištěním; dostupná data pokrývají moderní stranické demokracie, a proto je toto tvrzení mimo jejich dosah.</w:t>
      </w:r>
    </w:p>
    <w:p w14:paraId="7BE2420E" w14:textId="77777777" w:rsidR="005E7A17" w:rsidRDefault="00505045">
      <w:pPr>
        <w:pStyle w:val="Nadpis1"/>
      </w:pPr>
      <w:bookmarkStart w:id="21" w:name="definice-tří-dimenzí-l-e-f"/>
      <w:bookmarkEnd w:id="17"/>
      <w:bookmarkEnd w:id="20"/>
      <w:r>
        <w:t>6. Definice tří dimenzí L-E-F</w:t>
      </w:r>
    </w:p>
    <w:p w14:paraId="7BE2420F" w14:textId="77777777" w:rsidR="005E7A17" w:rsidRDefault="00505045">
      <w:pPr>
        <w:pStyle w:val="FirstParagraph"/>
      </w:pPr>
      <w:r>
        <w:t>L-E-F model vychází z předpokladu, že politické konflikty nelze redukovat na jedinou ideologickou osu, protože různé oblasti politického rozhodování mají odlišnou logiku. Každá z dimenzí modelu představuje specifický "hypertrofovaný" typ ideálu, kolem něhož se formují politické postoje, ideologie i stranické programy. Tyto dimenze jsou analyticky autonomní, čili postoj aktéra v jedné z nich neimplikuje jeho postoj v dimenzi jiné.</w:t>
      </w:r>
    </w:p>
    <w:p w14:paraId="7BE24210" w14:textId="77777777" w:rsidR="005E7A17" w:rsidRDefault="00505045">
      <w:pPr>
        <w:pStyle w:val="Nadpis2"/>
      </w:pPr>
      <w:bookmarkStart w:id="22" w:name="Xd266654c8b13a16f8aedbcfca45f4a8878b220b"/>
      <w:r>
        <w:t>6.1 Obecná logika pólů: aktivismus versus zdrženlivost</w:t>
      </w:r>
    </w:p>
    <w:p w14:paraId="7BE24211" w14:textId="77777777" w:rsidR="005E7A17" w:rsidRDefault="00505045">
      <w:pPr>
        <w:pStyle w:val="FirstParagraph"/>
      </w:pPr>
      <w:r>
        <w:t xml:space="preserve">Napříč všemi třemi dimenzemi platí společná, obecnější logika: kladný pól (+) každé osy odpovídá </w:t>
      </w:r>
      <w:r>
        <w:rPr>
          <w:b/>
          <w:bCs/>
        </w:rPr>
        <w:t>aktivismu</w:t>
      </w:r>
      <w:r>
        <w:t xml:space="preserve"> (tendenci měnit existující uspořádání ve jménu rovnosti, emancipace nebo transformace); záporný pól (−) odpovídá </w:t>
      </w:r>
      <w:r>
        <w:rPr>
          <w:b/>
          <w:bCs/>
        </w:rPr>
        <w:t>zdrženlivosti</w:t>
      </w:r>
      <w:r>
        <w:t xml:space="preserve"> </w:t>
      </w:r>
      <w:r>
        <w:t>(tendenci zachovávat, stabilizovat nebo bránit stávající normy, struktury a hierarchie). V tomto smyslu by šlo o všech třech osách mluvit v jazyce „levicové” (aktivismus) a „pravicové” (zdrženlivost) tendence, což by však mohlo být zdrojem zmatku, kterému se má model vyhnout: když se řekne, že strana X je "pravicová", není z toho jasné, jestli je pravicová na ose L, E, nebo F. Tyto tři významy se v běžném i odborném diskurzu často zaměňují (kritik demokracie hovořící o "krajní pravici" a má na mysli L− (aut</w:t>
      </w:r>
      <w:r>
        <w:t>oritativní tendenci), kdežto ekonom by měl mít na mysli E− (tendenci k laissez-faire) a sociolog by měl mít na mysli F− (tendenci ke kulturní uzavřenosti). Model proto zachovává</w:t>
      </w:r>
      <w:r>
        <w:t xml:space="preserve"> </w:t>
      </w:r>
      <w:r>
        <w:rPr>
          <w:b/>
          <w:bCs/>
        </w:rPr>
        <w:t>obecnou logiku</w:t>
      </w:r>
      <w:r>
        <w:t xml:space="preserve"> aktivismu/zdrženlivosti jako sjednocující princip, ale </w:t>
      </w:r>
      <w:r>
        <w:rPr>
          <w:b/>
          <w:bCs/>
        </w:rPr>
        <w:t>terminologii jednotlivých pólů odlišuje podle osy</w:t>
      </w:r>
      <w:r>
        <w:t>, aby žádné tvrzení o "pravicovosti" a „levicovosti” nezůstalo nejednoznačné.</w:t>
      </w:r>
    </w:p>
    <w:p w14:paraId="7BE24212" w14:textId="77777777" w:rsidR="005E7A17" w:rsidRDefault="00505045">
      <w:pPr>
        <w:pStyle w:val="Nadpis2"/>
      </w:pPr>
      <w:bookmarkStart w:id="23" w:name="dimenze-občanské-svobody-liberté"/>
      <w:bookmarkEnd w:id="22"/>
      <w:r>
        <w:lastRenderedPageBreak/>
        <w:t>6.2 Dimenze občanské svobody (Liberté)</w:t>
      </w:r>
    </w:p>
    <w:p w14:paraId="7BE24213" w14:textId="77777777" w:rsidR="005E7A17" w:rsidRDefault="00505045">
      <w:pPr>
        <w:pStyle w:val="FirstParagraph"/>
      </w:pPr>
      <w:r>
        <w:t xml:space="preserve">Dimenze L zachycuje vztah mezi individuální autonomií a autoritativním uspořádáním společnosti. Pól L+ je tendence maximalizovat </w:t>
      </w:r>
      <w:r>
        <w:rPr>
          <w:b/>
          <w:bCs/>
        </w:rPr>
        <w:t>nedominanci</w:t>
      </w:r>
      <w:r>
        <w:t xml:space="preserve"> </w:t>
      </w:r>
      <w:r>
        <w:t>(v Pettitově smyslu, kapitola 3.4), neboli odstranění mocenských hierarchií a libovolné, nekontrolovatelné moci, kterou by mohl jeden aktér vykonávat nad druhým bez možnosti to zpochybnit. Ideálním typem této tendence je anarchie, avšak nikoli v běžném, vulgárním smyslu chaosu nebo neomezené vlády většiny, ale ve filozoficky přesném smyslu, v jakém tenhle pojem používá anarchistická teorie: jako absence veškeré nucené, nekontrolovatelné hierarchie, odkudkoli by pocházela. Anarchistická praxe (od historickýc</w:t>
      </w:r>
      <w:r>
        <w:t>h po soudobá hnutí) proto systematicky preferuje konsensuální rozhodování před prostým hlasováním většiny, a to právě proto, aby se předešlo tomu, že by se většina sama stala zdrojem dominance nad menšinou.</w:t>
      </w:r>
    </w:p>
    <w:p w14:paraId="7BE24214" w14:textId="77777777" w:rsidR="005E7A17" w:rsidRDefault="00505045">
      <w:pPr>
        <w:pStyle w:val="Zkladntext"/>
      </w:pPr>
      <w:r>
        <w:t>Pól L− je tendence posilovat autoritu, hierarchii a společenský řád, chápaný jako přirozený nebo nezbytný pro stabilitu. Sem patří nejen zjevné formy koncentrace moci (jednovládí, vojenská junta), ale i méně zjevná forma nekontrolovaného uplatňování lidového hlasování jako náhrady za zprostředkující instituce. Apel na přímý, nezprostředkovaný "hlas lidu" proti soudům, parlamentní kontrole nebo jiným institucionálním brzdám oslabuje právě ty mechanismy, které dělají moc soutěživou a napadnutelnou (kapitola 3</w:t>
      </w:r>
      <w:r>
        <w:t>.4). Taková praxe je tendencí L−, i když se navenek prezentuje jako posílení občanské participace. L+ tedy neznamená méně institucí ani víc přímé demokracie, ale méně nekontrolovatelné moci, ať už ji vykonává jednotlivec, byrokracie, nebo většina sama, případně její samozvaní mluvčí.</w:t>
      </w:r>
    </w:p>
    <w:p w14:paraId="7BE24215" w14:textId="77777777" w:rsidR="005E7A17" w:rsidRDefault="00505045">
      <w:pPr>
        <w:pStyle w:val="Zkladntext"/>
      </w:pPr>
      <w:r>
        <w:t>Póly osy L se označují jako liberální (L+) a autoritativní (L−), ne jako levicové a pravicové. Důvod je praktický i teoretický zároveň: L je procedurální osa (kapitola 3.4–3.5), týkající se toho, „jak” se dochází k rozhodnutím, ne „jakého” substantivního výsledku se dosahuje. "Levice/pravice" je pojem, který si čtenář spojuje se substantivním obsahem (ekonomickým nebo kulturním), ne s procedurou. Toto není triviální poznámka, protože na vztahu mezi procedurálním a substantivním fakticky stojí velká část mod</w:t>
      </w:r>
      <w:r>
        <w:t>elu L-E-F.</w:t>
      </w:r>
    </w:p>
    <w:p w14:paraId="7BE24216" w14:textId="77777777" w:rsidR="005E7A17" w:rsidRDefault="00505045">
      <w:pPr>
        <w:pStyle w:val="Nadpis2"/>
      </w:pPr>
      <w:bookmarkStart w:id="24" w:name="dimenze-ekonomické-svobody-égalité"/>
      <w:bookmarkEnd w:id="23"/>
      <w:r>
        <w:t>6.3 Dimenze ekonomické svobody (Égalité)</w:t>
      </w:r>
    </w:p>
    <w:p w14:paraId="7BE24217" w14:textId="77777777" w:rsidR="005E7A17" w:rsidRDefault="00505045">
      <w:pPr>
        <w:pStyle w:val="FirstParagraph"/>
      </w:pPr>
      <w:r>
        <w:t>Dimenze E zachycuje vztah mezi státním dirigismem a ekonomickým laissez-faire. Pól E+ je tendence maximalizovat ekonomickou rovnost prostřednictvím přerozdělování, regulace a státní kontroly nad klíčovými oblastmi hospodářství. Ideálním typem této tendence je komunismus, chápaný jako hypotetický stav úplné ekonomické rovnosti a kolektivního vlastnictví, nikoli jako ideologie a praxe totalitních režimů dvacátého a dvacátého prvního století. Pól E− je tendence minimalizovat zásahy státu do ekonomiky.</w:t>
      </w:r>
    </w:p>
    <w:p w14:paraId="7BE24218" w14:textId="77777777" w:rsidR="005E7A17" w:rsidRDefault="00505045">
      <w:pPr>
        <w:pStyle w:val="Zkladntext"/>
      </w:pPr>
      <w:r>
        <w:rPr>
          <w:b/>
          <w:bCs/>
        </w:rPr>
        <w:t>Póly osy E jsou jediné, které si ponechávají obecné označení levicová (E+) a pravicová (E−)</w:t>
      </w:r>
      <w:r>
        <w:t>, protože právě tady se toto označení nejlépe kryje s tím, jak ho běžně i odborně chápe naprostá většina čtenářů, a nehrozí tu záměna s jinou dimenzí.</w:t>
      </w:r>
    </w:p>
    <w:p w14:paraId="7BE24219" w14:textId="77777777" w:rsidR="005E7A17" w:rsidRDefault="00505045">
      <w:pPr>
        <w:pStyle w:val="Nadpis2"/>
      </w:pPr>
      <w:bookmarkStart w:id="25" w:name="dimenze-kulturní-svobody-fraternité"/>
      <w:bookmarkEnd w:id="24"/>
      <w:r>
        <w:t>6.4 Dimenze kulturní svobody (Fraternité)</w:t>
      </w:r>
    </w:p>
    <w:p w14:paraId="7BE2421A" w14:textId="77777777" w:rsidR="005E7A17" w:rsidRDefault="00505045">
      <w:pPr>
        <w:pStyle w:val="FirstParagraph"/>
      </w:pPr>
      <w:r>
        <w:t>Dimenze F zachycuje vztah mezi kulturní změnou a kulturní stabilitou. Pól F+ je tendence aktivně měnit kulturní normy, společenské role a hodnotové vzorce ve jménu rovnosti, inkluze nebo emancipačních principů; pól F− je tendence zachovávat kulturní kontinuitu, tradice a identitní rámce.</w:t>
      </w:r>
    </w:p>
    <w:p w14:paraId="7BE2421B" w14:textId="77777777" w:rsidR="005E7A17" w:rsidRDefault="00505045">
      <w:pPr>
        <w:pStyle w:val="Zkladntext"/>
      </w:pPr>
      <w:r>
        <w:rPr>
          <w:b/>
          <w:bCs/>
        </w:rPr>
        <w:t>Póly osy F se označují jako kulturně otevřená (F+) a kulturně uzavřená (F−), ne jako levicová a pravicová.</w:t>
      </w:r>
      <w:r>
        <w:t xml:space="preserve"> </w:t>
      </w:r>
      <w:r>
        <w:t xml:space="preserve">Ideálním typem vrcholu F− je fašismus nikoli jako historický režim, ale </w:t>
      </w:r>
      <w:r>
        <w:lastRenderedPageBreak/>
        <w:t>jako analytický extrém odporu vůči kulturní heterogenitě, v němž je veškerá odlišnost potlačena ve prospěch jednotné identity. Tenhle vrchol představuje maximalizaci kulturní homogenity.</w:t>
      </w:r>
    </w:p>
    <w:p w14:paraId="7BE2421C" w14:textId="77777777" w:rsidR="005E7A17" w:rsidRDefault="00505045">
      <w:pPr>
        <w:pStyle w:val="Nadpis2"/>
      </w:pPr>
      <w:bookmarkStart w:id="26" w:name="autonomie-dimenzí-a-vrcholy-prostoru"/>
      <w:bookmarkEnd w:id="25"/>
      <w:r>
        <w:t>6.5 Autonomie dimenzí a vrcholy prostoru</w:t>
      </w:r>
    </w:p>
    <w:p w14:paraId="7BE2421D" w14:textId="77777777" w:rsidR="005E7A17" w:rsidRDefault="00505045">
      <w:pPr>
        <w:pStyle w:val="FirstParagraph"/>
      </w:pPr>
      <w:r>
        <w:t>Jedním ze základních rysů L-E-F modelu je autonomie jednotlivých dimenzí. Politický subjekt může být například liberální (L+), ekonomicky rovnostářský (E+), ale kulturně uzavřený (F−), čili umístění na jedné ose nepředjímá pozici v ostatních osách.</w:t>
      </w:r>
    </w:p>
    <w:p w14:paraId="7BE2421E" w14:textId="77777777" w:rsidR="005E7A17" w:rsidRDefault="00505045">
      <w:pPr>
        <w:pStyle w:val="Zkladntext"/>
      </w:pPr>
      <w:r>
        <w:t xml:space="preserve">Autonomie neznamená, že jsou všechny kombinace stejně časté. Ideální typy tří vrcholů (anarchie L+, komunismus E+, fašismus F−) leží na povrchu koule na koncích tří navzájem kolmých os, a jsou proto od sebe stejně vzdálené. Předchozí revize modelu z toho nesprávně vyvozovala, že blízkost ke dvěma vrcholům geometricky vylučuje blízkost k třetímu. V trojrozměrném prostoru s kolmými osami je ale všech osm kombinací znamének (oktantů) geometricky rovnocenných. Skutečnost, že některé kombinace, zejména L+E+F− a </w:t>
      </w:r>
      <w:r>
        <w:t>L−E−F+, se v reálných stranických systémech téměř nevyskytují, je empirické zjištění (kapitola 12, hypotéza H4), nikoli geometrická nutnost. Obdobně strukturální podobnost komunismu a fašismu jako historických režimů neplyne z geometrie vrcholů E+ a F−, které jsou od sebe stejně vzdálené jako od vrcholu L+, ale z toho, že oba režimy sdílely extrémní angažovanost na pólu L−; liší se důrazem na osách E a F.</w:t>
      </w:r>
    </w:p>
    <w:p w14:paraId="7BE2421F" w14:textId="77777777" w:rsidR="005E7A17" w:rsidRDefault="00505045">
      <w:pPr>
        <w:pStyle w:val="Zkladntext"/>
      </w:pPr>
      <w:r>
        <w:t>Střed koule je geometricky stejně vzdálený od všech tří vrcholů, ale politicky představuje nulovou tendenci ve všech dimenzích. Nejde tedy o syntézu extrémů, ale o absenci tendencí (kapitola 7.3); je to zároveň jediný bod, kde se stýká všech šest jehlanů popsaných v dokumentu „Matematika a geometrie”, kapitola 7.3.1.</w:t>
      </w:r>
    </w:p>
    <w:p w14:paraId="7BE24220" w14:textId="77777777" w:rsidR="005E7A17" w:rsidRDefault="00505045">
      <w:pPr>
        <w:pStyle w:val="Zkladntext"/>
      </w:pPr>
      <w:r>
        <w:t>Kombinace angažovaností na jednotlivých osách se klasifikují do 27 konfigurací (dokument „Matematika a geometrie”, kapitola 7.3.4) a zapisují číselným a znaménkovým zápisem (dokument „Matematika a geometrie”, kapitola 7.3.5). Tato klasifikace nahrazuje tabulku 26 pojmenovaných konfigurací z předchozí revize; slovní popis konfigurace se skládá z názvů pólů podle kapitol 6.2 až 6.4 (například L−E+F− je autoritativní, levicová a kulturně uzavřená konfigurace).</w:t>
      </w:r>
    </w:p>
    <w:p w14:paraId="7BE24221" w14:textId="77777777" w:rsidR="005E7A17" w:rsidRDefault="00505045">
      <w:pPr>
        <w:pStyle w:val="Nadpis1"/>
      </w:pPr>
      <w:bookmarkStart w:id="27" w:name="mechanismus-tendencí-směřování"/>
      <w:bookmarkEnd w:id="21"/>
      <w:bookmarkEnd w:id="26"/>
      <w:r>
        <w:t>7. Mechanismus tendencí směřování</w:t>
      </w:r>
    </w:p>
    <w:p w14:paraId="7BE24222" w14:textId="77777777" w:rsidR="005E7A17" w:rsidRDefault="00505045">
      <w:pPr>
        <w:pStyle w:val="FirstParagraph"/>
      </w:pPr>
      <w:r>
        <w:t>L-E-F model nepopisuje politické subjekty jako pevně ukotvené body, ale jako tendence směřování v rámci tří autonomních dimenzí. Tento přístup umožňuje zachytit dynamiku politických postojů a vysvětlit, proč se aktéři mohou přibližovat k některým ideálním typům, zatímco se zároveň vzdalují od jiných.</w:t>
      </w:r>
    </w:p>
    <w:p w14:paraId="7BE24223" w14:textId="77777777" w:rsidR="005E7A17" w:rsidRDefault="00505045">
      <w:pPr>
        <w:pStyle w:val="Nadpis2"/>
      </w:pPr>
      <w:bookmarkStart w:id="28" w:name="tendence-jako-míra-angažovanosti"/>
      <w:r>
        <w:t>7.1 Tendence jako míra angažovanosti</w:t>
      </w:r>
    </w:p>
    <w:p w14:paraId="7BE24224" w14:textId="77777777" w:rsidR="005E7A17" w:rsidRDefault="00505045">
      <w:pPr>
        <w:pStyle w:val="FirstParagraph"/>
      </w:pPr>
      <w:r>
        <w:t>Pojem tendence, zavedený v kapitole 3.3 jako analytický vektor, dosud zůstával metaforický. Aby byl použitelný analyticky, je nutné rozlišit dvě jeho složky, které odpovídají dvěma různým otázkám: směr (kam aktér směřuje) a angažovanost (jak silně tam směřuje).</w:t>
      </w:r>
    </w:p>
    <w:p w14:paraId="7BE24225" w14:textId="77777777" w:rsidR="005E7A17" w:rsidRDefault="00505045">
      <w:pPr>
        <w:pStyle w:val="Zkladntext"/>
      </w:pPr>
      <w:r>
        <w:t xml:space="preserve">Směr je dán znaménkem pozice na dané ose: L+ versus L−, E+ versus E−, F+ versus F−. Angažovanost je dána absolutní hodnotou této pozice, tedy vzdáleností od nuly na dané ose, nezávisle na tom, kterým směrem aktér ukazuje. Strana s L = +1,8 a strana s L = −1,8 mají opačný směr, ale identickou angažovanost (obě jsou vysoce vyhraněné, jen opačným směrem). Naproti tomu strana s L = +0,2 má nízkou angažovanost bez ohledu na to, že směr je formálně </w:t>
      </w:r>
      <w:r>
        <w:lastRenderedPageBreak/>
        <w:t>stejný jako u strany s L = +1,8. Přesné stupně angažovanosti (malá, velká, výrazná a extrémní) a hranice mezi nimi definuje dokument „Matematika a geometrie”, kapitola 7.3.4.</w:t>
      </w:r>
    </w:p>
    <w:p w14:paraId="7BE24226" w14:textId="77777777" w:rsidR="005E7A17" w:rsidRDefault="00505045">
      <w:pPr>
        <w:pStyle w:val="Zkladntext"/>
      </w:pPr>
      <w:r>
        <w:t>Angažovanost je veličina, kterou model dále využívá k rozlišení jednoosých, dvouosých a tříosých pozic (dokument „Matematika a geometrie”, kapitola 7.3.4), protože teprve dostatečná angažovanost na dvou nebo třech osách současně umožňuje zařazení do některé z pojmenovaných konfigurací; nízká angažovanost na všech osách naopak charakterizuje blízkost středu (kapitola 7.3). Směr je naproti tomu veličina, která určuje, o kterou konkrétní konfiguraci jde (například liberálně levicová, kulturně otevřená oproti a</w:t>
      </w:r>
      <w:r>
        <w:t>utoritativně pravicové, kulturně uzavřené), bez ohledu na to, jak silně je aktér na dané kombinaci os angažován.</w:t>
      </w:r>
    </w:p>
    <w:p w14:paraId="7BE24227" w14:textId="77777777" w:rsidR="005E7A17" w:rsidRDefault="00505045">
      <w:pPr>
        <w:pStyle w:val="Zkladntext"/>
      </w:pPr>
      <w:r>
        <w:t>Tendence v plném smyslu (pohyb, nikoli statická pozice) je pak změna angažovanosti a/nebo směru v čase. Strana, jejíž L klesá z +1,2 na +0,4 v průběhu dvou volebních období, snižuje svoji angažovanost v dimenzi L, aniž by měnila směr; teprve překročení nuly by znamenalo změnu směru. Toto rozlišení mezi změnou angažovanosti a změnou směru je důležité pro interpretaci hystereze v kapitole 10: demokratický úpadek podle modelu typicky začíná jako pokles angažovanosti v L (oslabování, ne obrat), a teprve v pokro</w:t>
      </w:r>
      <w:r>
        <w:t>čilé fázi přechází ve skutečnou změnu směru.</w:t>
      </w:r>
    </w:p>
    <w:p w14:paraId="7BE24228" w14:textId="77777777" w:rsidR="005E7A17" w:rsidRDefault="00505045">
      <w:pPr>
        <w:pStyle w:val="Nadpis2"/>
      </w:pPr>
      <w:bookmarkStart w:id="29" w:name="střed-jako-absence-tendence"/>
      <w:bookmarkEnd w:id="28"/>
      <w:r>
        <w:t>7.2 Střed jako absence tendence</w:t>
      </w:r>
    </w:p>
    <w:p w14:paraId="7BE24229" w14:textId="77777777" w:rsidR="005E7A17" w:rsidRDefault="00505045">
      <w:pPr>
        <w:pStyle w:val="FirstParagraph"/>
      </w:pPr>
      <w:r>
        <w:t>Tvrzení, že střed koule představuje nulovou tendenci ve všech dimenzích, je třeba odlišit od zdánlivě podobného, ale věcně odlišného tvrzení, že střed je "syntézou" či "průměrem" tří extrémů. Syntéza by předpokládala, že střed v sobě nese trochu z každého vrcholu (trochu anarchie, trochu komunismu, trochu fašismu) zředěné do umírněné podoby. Model pracuje s opačnou interpretací: střed je bod, kde žádná ze tří sil nepůsobí, nikoli bod, kde působí všechny tři najednou v oslabené míře.</w:t>
      </w:r>
    </w:p>
    <w:p w14:paraId="7BE2422A" w14:textId="77777777" w:rsidR="005E7A17" w:rsidRDefault="00505045">
      <w:pPr>
        <w:pStyle w:val="Zkladntext"/>
      </w:pPr>
      <w:r>
        <w:t>Genuinně centristické strany mají své pozice na všech osách limitně se blížící 0, ale nemohou je mít absolutně nulové. Je to filozofické východisko, které lze upřesnit odkazem na Bourdieuho relační pojetí vztahů uvnitř pole (Bourdieu 1996), ve kterém jsou pozice objektivně definovány svým objektivním vztahem k ostatním pozicím. Politická pozice v tomto smyslu předpokládá přinejmenším dvě odlišné, reálně existující entity, mezi nimiž teprve vzniká vztah, který lze nazvat „pozicí”. V bodě L=E=F=0 ale tahle po</w:t>
      </w:r>
      <w:r>
        <w:t>dmínka strukturálně chybí, protože tam není žádná pojmenovatelná substantivní pozice na osách E a F (a tím pádem tam nemůže být ani žádný procedurální nástroj na ose L, který by vztahy mezi E a F upravoval). Nulový bod tedy není nezaujatou pozicí, kterou by teoreticky někdo mohl obsadit, ale bodem, kde se sama definice pozice hroutí pro nedostatek vztahů. Genuinně centristická strana se proto nemůže ocitnout přesně v tomto bodě ne proto, že by to bylo empiricky nepravděpodobné, ale protože tam „nejsou žádné</w:t>
      </w:r>
      <w:r>
        <w:t xml:space="preserve"> pozice”.</w:t>
      </w:r>
    </w:p>
    <w:p w14:paraId="7BE2422B" w14:textId="77777777" w:rsidR="005E7A17" w:rsidRDefault="00505045">
      <w:pPr>
        <w:pStyle w:val="Zkladntext"/>
      </w:pPr>
      <w:r>
        <w:t>Otázka, zda geometrický střed odpovídá něčemu empiricky pozorovatelnému, vyžaduje opatrnost. Vycházejme z teorie devíti von Beymeho rodin politických stran. Vzhledem k tomu, že každá z nich nese nějakou substanciální složku, tak žádná z nich nemůže mít svůj střed v bodě L=E=F=0, což vysvětluje následující odstavec. Z konceptuálního hlediska je proto nezbytné rozlišovat mezi bodem (L=E=F=0) a jeho okolím (L≈E≈F≈0): neboli neobsaditelný bod ve smyslu zmíněného argumentu versus nekonečná množina reálně existuj</w:t>
      </w:r>
      <w:r>
        <w:t>ících nesmírně malých pozic, které se k tomuto bodu mohou limitně blížit, ale nemohou ho dosáhnout. Předběžně je tak rozumné předpokládat, že aspoň v jedné ose se některá z rodin může k nulovému bodu aspoň blížit. Nejblíže středu jsou agrární strany, případně etnické/regionální a křesťanskodemokratické rodiny (přesné empirické doložení, včetně metodiky výpočtu vzdálenosti od středu, je předmětem dokument „Metodologie, databáze a empirické ověření”).</w:t>
      </w:r>
    </w:p>
    <w:p w14:paraId="7BE2422C" w14:textId="77777777" w:rsidR="005E7A17" w:rsidRDefault="00505045">
      <w:pPr>
        <w:pStyle w:val="Zkladntext"/>
      </w:pPr>
      <w:r>
        <w:lastRenderedPageBreak/>
        <w:t>V aparátu dokument „Matematika a geometrie” odpovídá okolí středu neangažovaná konfigurace (0), tedy strana s malou angažovaností na všech osách (dokument „Matematika a geometrie”, kapitola 7.3.4). U stran s hloubkou r pod zhruba 0,2 je navíc nespolehlivý i směr, takže se popisují jednoduše jako středové (dokument „Matematika a geometrie”, kapitola 7.2.4).</w:t>
      </w:r>
    </w:p>
    <w:p w14:paraId="7BE2422D" w14:textId="77777777" w:rsidR="005E7A17" w:rsidRDefault="00505045">
      <w:pPr>
        <w:pStyle w:val="Zkladntext"/>
      </w:pPr>
      <w:r>
        <w:t>Formální stupně angažovanosti, hranice mezi nimi a zápis konfigurací popisuje dokument „Matematika a geometrie”, kapitola 3.</w:t>
      </w:r>
    </w:p>
    <w:p w14:paraId="7BE2422E" w14:textId="77777777" w:rsidR="005E7A17" w:rsidRDefault="00505045">
      <w:pPr>
        <w:pStyle w:val="Zkladntext"/>
      </w:pPr>
      <w:r>
        <w:t>Skutečná blízkost geometrickému středu je spíše vlastností technokratických vlád, které kapitola 9.5 popisuje jako "dočasné vypnutí blokové logiky jako takové". Technokratické vládnutí tedy není koalice politických subjektů s vyváženými, ale slabými tendencemi ve všech třech dimenzích, nýbrž situace dočasného „vystoupení” z prostoru L-E-F, protože legitimita technokratické vlády se opírá nikoli o volební výsledek, ale o pragmatickou suspendaci substantivní podstaty politické soutěže.</w:t>
      </w:r>
    </w:p>
    <w:p w14:paraId="7BE2422F" w14:textId="77777777" w:rsidR="005E7A17" w:rsidRDefault="00505045">
      <w:pPr>
        <w:pStyle w:val="Nadpis2"/>
      </w:pPr>
      <w:bookmarkStart w:id="30" w:name="dynamika-pohybu-v-čase"/>
      <w:bookmarkEnd w:id="29"/>
      <w:r>
        <w:t>7.3 Dynamika pohybu v čase</w:t>
      </w:r>
    </w:p>
    <w:p w14:paraId="7BE24230" w14:textId="77777777" w:rsidR="005E7A17" w:rsidRDefault="00505045">
      <w:pPr>
        <w:pStyle w:val="FirstParagraph"/>
      </w:pPr>
      <w:r>
        <w:t>Je nutné odlišit dva geometricky odlišné druhy pohybu v prostoru L-E-F, které model dosud pojmenovává společným slovem "tendence", ale které se odehrávají na různých úrovních struktury zavedené v dokumentu „Matematika a geometrie”, kapitola 7.3.1. Vycházejme přitom z metafory přesýpacích hodin jako změně na jedné ose: přesýpání písku z jedné strany osy na druhou mění těžiště osy (například pohyb od L+ k L-), což je první typ tendence. A dále uvažujme, že všechny tři přesýpací hodiny mají společný nulový bod</w:t>
      </w:r>
      <w:r>
        <w:t xml:space="preserve"> (L=E=F=0), ve kterém dochází nejen ke změně těžiště jedné osy, ale i vyprazdňování jednotlivých os ve prospěch jiných (například vyprázdnění L do F), což je druhý typ tendence. Je to čistě mechanicky vysvětlující metafora, ve skutečnosti nedochází k přesunu voličů přes bod L=E=F=0, ale nejkratší možnou cestou kdekoliv uvnitř prostoru.</w:t>
      </w:r>
    </w:p>
    <w:p w14:paraId="7BE24231" w14:textId="77777777" w:rsidR="005E7A17" w:rsidRDefault="00505045">
      <w:pPr>
        <w:pStyle w:val="Zkladntext"/>
      </w:pPr>
      <w:r>
        <w:rPr>
          <w:b/>
          <w:bCs/>
        </w:rPr>
        <w:t>První typ je změna polarity.</w:t>
      </w:r>
      <w:r>
        <w:t xml:space="preserve"> Těžiště angažovanosti na jedné ose se posouvá mezi jejími dvěma póly, aniž by se měnila celková váha té osy vzhledem ke zbylým dvěma. Formálně jde o změnu polarity (dokument „Matematika a geometrie”, kapitola 7.6.1): Δpolarita(K) = polarita(K, t₂) − polarita(K, t₁) pro K ∈ {L, E, F}. Tenhle typ pohybu odpovídá otázce </w:t>
      </w:r>
      <w:r>
        <w:rPr>
          <w:i/>
          <w:iCs/>
        </w:rPr>
        <w:t>"kterým směrem se posouvá důraz na dané ose"</w:t>
      </w:r>
      <w:r>
        <w:t>, ne otázce, jestli na té ose vůbec záleží.</w:t>
      </w:r>
    </w:p>
    <w:p w14:paraId="7BE24232" w14:textId="77777777" w:rsidR="005E7A17" w:rsidRDefault="00505045">
      <w:pPr>
        <w:pStyle w:val="Zkladntext"/>
      </w:pPr>
      <w:r>
        <w:rPr>
          <w:b/>
          <w:bCs/>
        </w:rPr>
        <w:t>Druhý typ je změna salience (významnosti osy).</w:t>
      </w:r>
      <w:r>
        <w:t xml:space="preserve"> </w:t>
      </w:r>
      <w:r>
        <w:t xml:space="preserve">Váha, kterou společnost přikládá jednotlivým osám, se přerozděluje: co získá jedna osa, musí ztratit jiná, protože salience(L) + salience(E) + salience(F) = 100 %. Formálně: Δsalience(K) = salience(K, t₂) − salience(K, t₁), se závaznou vlastností Σ Δsalience(K) = 0. Tenhle typ pohybu odpovídá otázce </w:t>
      </w:r>
      <w:r>
        <w:rPr>
          <w:i/>
          <w:iCs/>
        </w:rPr>
        <w:t>"o kterou osu se hraje"</w:t>
      </w:r>
      <w:r>
        <w:t>, nezávisle na tom, kterým směrem se uvnitř ní táhne.</w:t>
      </w:r>
    </w:p>
    <w:p w14:paraId="7BE24233" w14:textId="77777777" w:rsidR="005E7A17" w:rsidRDefault="00505045">
      <w:pPr>
        <w:pStyle w:val="Zkladntext"/>
      </w:pPr>
      <w:r>
        <w:t xml:space="preserve">Oba typy pohybu jsou na sobě nezávislé a mohou nastat současně. Společnost se může posouvat k jednomu pólu uvnitř osy (změna polarity) v téže chvíli, kdy osa jako celek ztrácí na významu (pokles salience), a naopak (například se může posilovat těžiště osy L směrem k L+, ale zároveň se může salience osy L snížit ve prospěch osy F, na které se zároveň zvýší těžiště směrem k F-). Rozlišení obou typů je nutné udržet terminologicky oddělené: kde text mluví o </w:t>
      </w:r>
      <w:r>
        <w:rPr>
          <w:b/>
          <w:bCs/>
        </w:rPr>
        <w:t>posunu těžiště</w:t>
      </w:r>
      <w:r>
        <w:t xml:space="preserve"> </w:t>
      </w:r>
      <w:r>
        <w:t xml:space="preserve">uvnitř osy, tam jde o polaritu; kde mluví o </w:t>
      </w:r>
      <w:r>
        <w:rPr>
          <w:b/>
          <w:bCs/>
        </w:rPr>
        <w:t>posunu zájmu</w:t>
      </w:r>
      <w:r>
        <w:t xml:space="preserve"> mezi osami, jde o salienci. Kombinace obou posunů vede k proměně tvaru společnosti (dokument „Matematika a geometrie”, kapitola 7.6) jako celku. Konkrétní empirické měření obou veličin na reálných datech je předmětem dokument „Metodologie, databáze a empirické ověření”.</w:t>
      </w:r>
    </w:p>
    <w:p w14:paraId="7BE24234" w14:textId="77777777" w:rsidR="005E7A17" w:rsidRDefault="00505045">
      <w:pPr>
        <w:pStyle w:val="Nadpis1"/>
      </w:pPr>
      <w:bookmarkStart w:id="31" w:name="X3a4ff1797a6d66821142ac459bea6f020d62aed"/>
      <w:bookmarkEnd w:id="27"/>
      <w:bookmarkEnd w:id="30"/>
      <w:r>
        <w:lastRenderedPageBreak/>
        <w:t>8. Volební výsledky jako měřicí přístroj demokratičnosti společnosti</w:t>
      </w:r>
    </w:p>
    <w:p w14:paraId="7BE24235" w14:textId="77777777" w:rsidR="005E7A17" w:rsidRDefault="00505045">
      <w:pPr>
        <w:pStyle w:val="Nadpis2"/>
      </w:pPr>
      <w:bookmarkStart w:id="32" w:name="výchozí-problém"/>
      <w:r>
        <w:t>8.1 Výchozí problém</w:t>
      </w:r>
    </w:p>
    <w:p w14:paraId="7BE24236" w14:textId="77777777" w:rsidR="005E7A17" w:rsidRDefault="00505045">
      <w:pPr>
        <w:pStyle w:val="FirstParagraph"/>
      </w:pPr>
      <w:r>
        <w:t>Institucionální ukazatele (typu Freedom House nebo V-Dem) měří demokratičnost prostřednictvím expertního hodnocení formálních pravidel a jejich dodržování (kvalitu voleb, nezávislost soudnictví, svobodu tisku). Jejich slabinou je, že zachycují stav institucí, nikoli stav hodnotových postojů společnosti, která tyto instituce obývá; instituce mohou zůstat formálně nedotčené, zatímco společenská poptávka po nich dlouhodobě eroduje, a naopak.</w:t>
      </w:r>
    </w:p>
    <w:p w14:paraId="7BE24237" w14:textId="77777777" w:rsidR="005E7A17" w:rsidRDefault="00505045">
      <w:pPr>
        <w:pStyle w:val="Zkladntext"/>
      </w:pPr>
      <w:r>
        <w:t>Průzkumy veřejného mínění měří postoje, ale trpí známým nesouladem mezi tím, co respondenti říkají, a tím, jak jednají: sociální desirabilita, nízká sofistikovanost odpovědí na abstraktní otázky o "demokracii" a nákladová nulovost odpovědi (na rozdíl od hlasování ve volbách, kde je vyjádření postoje spojeno se skutečným, byť malým, nákladem a důsledkem).</w:t>
      </w:r>
    </w:p>
    <w:p w14:paraId="7BE24238" w14:textId="77777777" w:rsidR="005E7A17" w:rsidRDefault="00505045">
      <w:pPr>
        <w:pStyle w:val="Zkladntext"/>
      </w:pPr>
      <w:r>
        <w:t>L-E-F model proto volí třetí cestu: měření založené na preferencích odvozených z reálného volebního chování, nikoli z deklarovaných preferencí. Volební výsledek je jediný dostupný behaviorální projev hodnotového postoje v měřítku celé populace, opakovaný v pravidelných intervalech a strukturovaný tak, že umožňuje agregaci (kapitola 8.3). Almond a Verba už ve svém klasickém výzkumu politické kultury ukázali, že rozhodující je to, jak lidé jednají, nikoli jen to, co deklarují. L-E-F model tuto zásadu jen přev</w:t>
      </w:r>
      <w:r>
        <w:t>ádí do kvantitativní podoby použitelné pro celé stranické systémy.</w:t>
      </w:r>
    </w:p>
    <w:p w14:paraId="7BE24239" w14:textId="77777777" w:rsidR="005E7A17" w:rsidRDefault="00505045">
      <w:pPr>
        <w:pStyle w:val="Nadpis2"/>
      </w:pPr>
      <w:bookmarkStart w:id="33" w:name="X7a66f29c46ae43b69ef1f542753e9edd530d312"/>
      <w:bookmarkEnd w:id="32"/>
      <w:r>
        <w:t>8.2 Politické strany jako agregátory hodnotových proudů</w:t>
      </w:r>
    </w:p>
    <w:p w14:paraId="7BE2423A" w14:textId="77777777" w:rsidR="005E7A17" w:rsidRDefault="00505045">
      <w:pPr>
        <w:pStyle w:val="FirstParagraph"/>
      </w:pPr>
      <w:r>
        <w:t>Předpoklad, že strany jsou agregátory, nikoli primárními autory hodnotových proudů, byl už použit v kapitole 9.1 k vysvětlení, proč jsou meziblokové koalice strukturálně nestabilní. Zde je třeba ho rozvinout jako předpoklad umožňující samotné měření: pokud by strany byly autory (tedy pokud by hodnotové postoje vznikaly především jako důsledek stranické kampaně a rétoriky), volební výsledek by měřil sílu marketingu, nikoli rozložení hodnot ve společnosti, a agregace v kapitole 8.3 by byla metodologicky bezce</w:t>
      </w:r>
      <w:r>
        <w:t>nná. To neznamená, že by marketing nehrál žádnou roli, ale spíše to znamená, že zadavatelé kampaní (politické strany) nejdříve změří hodnoty, kterým následně podřizují marketing.</w:t>
      </w:r>
    </w:p>
    <w:p w14:paraId="7BE2423B" w14:textId="77777777" w:rsidR="005E7A17" w:rsidRDefault="00505045">
      <w:pPr>
        <w:pStyle w:val="Zkladntext"/>
      </w:pPr>
      <w:r>
        <w:t>Opora tohoto předpokladu je stejná jako v kapitole 4.3: hodnotové proudy se mění generačně, zatímco strany vznikají, štěpí se, slučují a zanikají v řádu let až desetiletí. Tento nesoulad v časové škále je empiricky pozorovatelný: noví straničtí aktéři téměř nikdy nevytvářejí nový hodnotový proud, ale obsazují proud, který byl dosud reprezentačně prázdný nebo nedostatečně zastoupený (typicky při vzestupu populistických stran obsazujících proud s vysokou angažovaností v ose F, který etablované strany dlouhodo</w:t>
      </w:r>
      <w:r>
        <w:t>bě ignorovaly). Strana zde funguje jako kanál, nikoli jako zdroj, čili proto lze její volební výsledek číst jako proxy velikosti proudu, který obsluhuje.</w:t>
      </w:r>
    </w:p>
    <w:p w14:paraId="7BE2423C" w14:textId="77777777" w:rsidR="005E7A17" w:rsidRDefault="00505045">
      <w:pPr>
        <w:pStyle w:val="Zkladntext"/>
      </w:pPr>
      <w:r>
        <w:t xml:space="preserve">Tento předpoklad má ovšem meze, které je třeba přiznat: strategické umisťování stran (např. tendence k mediánovému voliči), efekty koaliční arény na programovou nabídku a zkreslení volebním systémem (kapitola 8.4) znamenají, že mapování mezi hodnotovým proudem a stranickou nabídkou není nikdy dokonalé. Model pracuje s tímto zkreslením jako s měřicí chybou, nikoli jako s vyvrácením předpokladu (stejně jako každé behaviorální měření v sociálních vědách). Cílem modelu je rozpoznat hodnotový posun společnosti, </w:t>
      </w:r>
      <w:r>
        <w:t>nikoli ho zcela přesně vypočítat.</w:t>
      </w:r>
    </w:p>
    <w:p w14:paraId="7BE2423D" w14:textId="77777777" w:rsidR="005E7A17" w:rsidRDefault="00505045">
      <w:pPr>
        <w:pStyle w:val="Nadpis2"/>
      </w:pPr>
      <w:bookmarkStart w:id="34" w:name="agregovaná-pozice-společnosti"/>
      <w:bookmarkEnd w:id="33"/>
      <w:r>
        <w:lastRenderedPageBreak/>
        <w:t>8.3 Agregovaná pozice společnosti</w:t>
      </w:r>
    </w:p>
    <w:p w14:paraId="7BE2423E" w14:textId="77777777" w:rsidR="005E7A17" w:rsidRDefault="00505045">
      <w:pPr>
        <w:pStyle w:val="FirstParagraph"/>
      </w:pPr>
      <w:r>
        <w:t>Formálně je agregovaná pozice společnosti těžištěm μ (dokument „Matematika a geometrie”, kapitola 7.5.2), tedy váženým průměrem poloh všech zahrnutých stran, kde váhou w_i je jejich podíl na hlasech (Σw_i = 1):</w:t>
      </w:r>
    </w:p>
    <w:p w14:paraId="7BE2423F" w14:textId="77777777" w:rsidR="005E7A17" w:rsidRDefault="00505045">
      <w:pPr>
        <w:pStyle w:val="Zkladntext"/>
      </w:pPr>
      <w:r>
        <w:rPr>
          <w:b/>
          <w:bCs/>
        </w:rPr>
        <w:t>μ_L = Σ w_i · L_i; μ_E = Σ w_i · E_i; μ_F = Σ w_i · F_i</w:t>
      </w:r>
    </w:p>
    <w:p w14:paraId="7BE24240" w14:textId="77777777" w:rsidR="005E7A17" w:rsidRDefault="00505045">
      <w:pPr>
        <w:pStyle w:val="Zkladntext"/>
      </w:pPr>
      <w:r>
        <w:t>Polohy stran se před výpočtem převádějí do koule (dokument „Matematika a geometrie”, kapitola 7.1.3). V předchozích revizích modelu se agregovaná pozice značila L̄, Ē, F̄ a počítala se z poloh bez převodu; v tomto textu se používá značení μ_L, μ_E, μ_F. Těžiště je přitom jen první z veličin popisujících společnost: úplný popis jejího tvaru dávají tři vrstvy z dokumentu „Matematika a geometrie”, kapitola 7.6 (směr, hloubka, rozprostření) a souhrnné ukazatele z dokumentu „Matematika a geometrie”, kapitola 7.7</w:t>
      </w:r>
      <w:r>
        <w:t>.</w:t>
      </w:r>
    </w:p>
    <w:p w14:paraId="7BE24241" w14:textId="77777777" w:rsidR="005E7A17" w:rsidRDefault="00505045">
      <w:pPr>
        <w:pStyle w:val="Zkladntext"/>
      </w:pPr>
      <w:r>
        <w:t>Na příkladu českých voleb (dokument „Matematika a geometrie”, kapitola 7.9) leží těžiště společnosti v roce 2021 v poloze (+0,05; −0,08; −0,39) a v roce 2025 v poloze (−0,01; +0,04; −0,31). Na osách L a E je tedy společnost jako celek téměř ve středu, zatímco na ose F vykazuje zřetelnou kolektivní tendenci ke kulturně uzavřenému pólu. Hmota pólů a salience přitom ukazují, že za malým posunem těžiště se skrývají podstatně větší změny (dokument „Matematika a geometrie”, kapitola 7.9.4 a 7.9.5).</w:t>
      </w:r>
    </w:p>
    <w:p w14:paraId="7BE24242" w14:textId="77777777" w:rsidR="005E7A17" w:rsidRDefault="00505045">
      <w:pPr>
        <w:pStyle w:val="Zkladntext"/>
      </w:pPr>
      <w:r>
        <w:t>Metodologická poznámka: váhou by měl být podíl na hlasech, nikoli podíl na mandátech, protože volební systémy (poměrné, většinové, s uzavírací klauzulí) zkreslují převod hlasů na mandáty nekonzistentním způsobem napříč zeměmi a časem; použití mandátové váhy by do agregované pozice vneslo dodatečný institucionální šum.</w:t>
      </w:r>
    </w:p>
    <w:p w14:paraId="7BE24243" w14:textId="77777777" w:rsidR="005E7A17" w:rsidRDefault="00505045">
      <w:pPr>
        <w:pStyle w:val="Nadpis2"/>
      </w:pPr>
      <w:bookmarkStart w:id="35" w:name="demokracie-jako-kontinuum"/>
      <w:bookmarkEnd w:id="34"/>
      <w:r>
        <w:t>8.4 Demokracie jako kontinuum</w:t>
      </w:r>
    </w:p>
    <w:p w14:paraId="7BE24244" w14:textId="77777777" w:rsidR="005E7A17" w:rsidRDefault="00505045">
      <w:pPr>
        <w:pStyle w:val="FirstParagraph"/>
      </w:pPr>
      <w:r>
        <w:t>Model L-E-F pracuje s binárním dělením osy L na L+ (liberální) a L− (autoritativní), které je nezbytné umět správně přečíst jako tendence různého stupně (malá, velká, výrazná a extrémní angažovanost, dokument „Matematika a geometrie”, kapitola 7.3.4), a to na obě strany. Procedurální úloha osy L, která byla obsáhle vysvětlena v kapitole 3, napovídá i něco víc, než že v určitém okamžiku dojde k systémovému zhroucení, k trvalému nárůstu opresivity a k proměně režimu z demokratického na autoritativní. Z geomet</w:t>
      </w:r>
      <w:r>
        <w:t>rie konfigurací jedno až tříosých systémů a jejího empirického ověření (dokument „Metodologie, databáze a empirické ověření”) jednoznačně vyplývá, že záporná agregovaná hodnota μ_L (čili autoritativní pásmo) je pro demokratické režimy běžná, aniž by to samo o sobě vedlo ke kolapsu demokracie. Přesto vždy existuje bod nacházející se někde mezi 0 až -2 na ose L, jehož opakované či trvalé překračování povede ke zvratu. Můžeme ten bod chápat jako jakýsi „val”, který stojí mezi demokracií a autoritativním režime</w:t>
      </w:r>
      <w:r>
        <w:t>m. Dokud pozorujeme opakující se „odrážení” od valu projevující se jako mezivolební nárůst salience osy L a/nebo změnu těžiště na ose L směrem k liberálnímu (+), tak to můžeme interpretovat jako přirozenou rezistenci společnosti před trvale autoritativní tendencí k nárůstu opresivity a změně režimu.</w:t>
      </w:r>
    </w:p>
    <w:p w14:paraId="7BE24245" w14:textId="77777777" w:rsidR="005E7A17" w:rsidRDefault="00505045">
      <w:pPr>
        <w:pStyle w:val="Zkladntext"/>
      </w:pPr>
      <w:r>
        <w:t>Ani poměrně výrazně záporná hodnota L, tedy velká autoritativní tendence dosažená krátkodobě, nemusí znamenat překonání valu. Ale opakující se či dokonce trvalá i poměrně malá autoritativní tendence povede k destrukci valu. Podrobně se tomu věnuje kapitola 10.</w:t>
      </w:r>
    </w:p>
    <w:p w14:paraId="7BE24246" w14:textId="77777777" w:rsidR="005E7A17" w:rsidRDefault="00505045">
      <w:pPr>
        <w:pStyle w:val="Nadpis2"/>
      </w:pPr>
      <w:bookmarkStart w:id="36" w:name="ukotvení-v-tradici-výzkumu"/>
      <w:bookmarkEnd w:id="35"/>
      <w:r>
        <w:t>8.5 Ukotvení v tradici výzkumu</w:t>
      </w:r>
    </w:p>
    <w:p w14:paraId="7BE24247" w14:textId="77777777" w:rsidR="005E7A17" w:rsidRDefault="00505045">
      <w:pPr>
        <w:pStyle w:val="FirstParagraph"/>
      </w:pPr>
      <w:r>
        <w:t xml:space="preserve">Metodologické rozhodnutí měřit hodnotový stav společnosti behaviorálně, nikoli výhradně přes dotazníková šetření, které v modelu reprezentují Inglehart a Welzel (WVS) a jejich koncept </w:t>
      </w:r>
      <w:r>
        <w:lastRenderedPageBreak/>
        <w:t>mezigeneračního hodnotového posunu, je teoretickým zdrojem předpokladu z kapitoly 8.2, zatímco Almond a Verba (10.1) dodávají metodologické zdůvodnění, proč význam behaviorálních dat převažuje nad deklarovanými postoji. L-E-F model tak nepřidává nějakou novou tradici, ale spojuje dvě existující linie výzkumu politické kultury (teorii hodnotové změny a metodologii měření participace) do jednoho měřicího nástroje, který je aplikovatelný na běžně dostupná volební data, aniž by vyžadoval nákladný opakovaný průz</w:t>
      </w:r>
      <w:r>
        <w:t>kum.</w:t>
      </w:r>
    </w:p>
    <w:p w14:paraId="7BE24248" w14:textId="77777777" w:rsidR="005E7A17" w:rsidRDefault="00505045">
      <w:pPr>
        <w:pStyle w:val="Zkladntext"/>
      </w:pPr>
      <w:r>
        <w:t>Přesto je na tomto místě vhodné poznamenat, že model L-E-F by se dlouhodobě měl opřít jednak o vlastní zdroj expertního škálování, jednak o expertní škálování a dotazníková šetření pocházející ze zavedených a obecně uznávaných datasetů. Data rekonstruovaná pouze z dostupných datasetů dostačují spíše na základní hrubou orientaci v prostoru L-E-F, než aby bylo možné podle nich určit přesnou pozici a orientaci subjektů či společnosti.</w:t>
      </w:r>
    </w:p>
    <w:p w14:paraId="7BE24249" w14:textId="77777777" w:rsidR="005E7A17" w:rsidRDefault="00505045">
      <w:pPr>
        <w:pStyle w:val="Zkladntext"/>
      </w:pPr>
      <w:r>
        <w:t>Rané verze modelu L-E-F kódovaly orientaci na osách ve formě rozlišování malého a velkého písmene názvu osy a znaménkem směru tendence. Čili zápis vypadal například L+e+f+, což znamená velkou angažovanost na ose L a malou angažovanost na osách E/F. Zápis by se dal v rámci kategorizace (dokument „Matematika a geometrie”, kapitola 7.3.4) číst jako „liberální strana”, protože malou angažovanost na osách je možné pominout. K opuštění kódování formou malých a velkých písmen došlo až kvůli zpřesňování vztahů uvni</w:t>
      </w:r>
      <w:r>
        <w:t>tř modelu. Současný číselný a znaménkový zápis (dokument „Matematika a geometrie”, kapitola 7.3.5) na toto kódování navazuje.</w:t>
      </w:r>
    </w:p>
    <w:p w14:paraId="7BE2424A" w14:textId="77777777" w:rsidR="005E7A17" w:rsidRDefault="00505045">
      <w:pPr>
        <w:pStyle w:val="Zkladntext"/>
      </w:pPr>
      <w:r>
        <w:t>Přesto se jedná o dobré východisko, i když původní hranice mezi malou a velkou angažovaností byla +/-1. To je i důvod, proč je celá škála navržená jako +/-2. Teprve při sérii předběžných ověřování modelu se ukázalo, že skutečná hranice mezi malou a velkou angažovaností leží mnohem blíže k 0. Pokud by se mělo zachovat zjednodušené kódování v podobě kombinace malých a velkých písmen, odpovídala by malé angažovanosti škála v rozmezí +0,5 až -0,5. Současná verze používá jako geometricky neutrální výchozí hranic</w:t>
      </w:r>
      <w:r>
        <w:t>i 2/3 (dokument „Matematika a geometrie”, kapitola 7.3.4), které na škále 0–10, typické pro CHES, odpovídá rozmezí malé angažovanosti zhruba 3,3 až 6,7; empiricky kalibrované hranice leží v reálných datech často níže (dokument „Matematika a geometrie”, kapitola 7.9.3). Z tohoto se dá vyjít při konstrukci převodních můstků.</w:t>
      </w:r>
    </w:p>
    <w:p w14:paraId="7BE2424B" w14:textId="77777777" w:rsidR="005E7A17" w:rsidRDefault="00505045">
      <w:pPr>
        <w:pStyle w:val="Zkladntext"/>
      </w:pPr>
      <w:r>
        <w:t>Při tvorbě vlastní L-E-F databáze by se měla zohlednit tradice existujících datasetů, které by se pouze vhodně rozšířily tak, aby každá osa měla baterii 10 otázek. Mělo by to hned dvojí výhodu. Jednak by se prostřednictvím převodního můstku mohlo pracovat kontinuálně i s historickými daty (byť s určitým zkreslením), jednak by datasety mohly sloužit k vzájemné kontrole.</w:t>
      </w:r>
    </w:p>
    <w:p w14:paraId="7BE2424C" w14:textId="77777777" w:rsidR="005E7A17" w:rsidRDefault="00505045">
      <w:pPr>
        <w:pStyle w:val="Nadpis1"/>
      </w:pPr>
      <w:bookmarkStart w:id="37" w:name="Xf785c778627b8e48f7bc8819a2d7018394bf4f5"/>
      <w:bookmarkEnd w:id="31"/>
      <w:bookmarkEnd w:id="36"/>
      <w:r>
        <w:t>9. Koaliční logika: předpoklady a teoretická tvrzení</w:t>
      </w:r>
    </w:p>
    <w:p w14:paraId="7BE2424D" w14:textId="77777777" w:rsidR="005E7A17" w:rsidRDefault="00505045">
      <w:pPr>
        <w:pStyle w:val="Nadpis2"/>
      </w:pPr>
      <w:bookmarkStart w:id="38" w:name="X2241e234abbf5f65e68c0ff48d614e01357e6dc"/>
      <w:r>
        <w:t>9.1 Základní předpoklad: strany jsou ve vleku voličů</w:t>
      </w:r>
    </w:p>
    <w:p w14:paraId="7BE2424E" w14:textId="77777777" w:rsidR="005E7A17" w:rsidRDefault="00505045">
      <w:pPr>
        <w:pStyle w:val="FirstParagraph"/>
      </w:pPr>
      <w:r>
        <w:t>Rozdíl mezi L-E-F modelem a klasickými teoriemi koalic není „pouze” terminologický. Přístupy Lavera a Schofielda i Strøma, Budgeho a Lavera pracují se stranami jako s racionálními aktéry, kteří v okamžiku vyjednávání volí mezi maximalizací vlivu na politiku (policy-seeking) a maximalizací přístupu k moci (office-seeking). V obou případech jde o kalkulaci, kterou strana provádí v čase vyjednávání, s poměrně velkou mírou volnosti.</w:t>
      </w:r>
    </w:p>
    <w:p w14:paraId="7BE2424F" w14:textId="77777777" w:rsidR="005E7A17" w:rsidRDefault="00505045">
      <w:pPr>
        <w:pStyle w:val="Zkladntext"/>
      </w:pPr>
      <w:r>
        <w:t xml:space="preserve">L-E-F model tuto volnost sice neruší, ale výrazně omezuje tím, že strany chápe spíše jako agregátory hodnotových proudů (kapitola 8.2), nikoli jako jejich autory. Strana se sice může rozhodnout vyjednávat koalici mimo tendenci, ke které ji táhne její voličská základna, ale riskuje </w:t>
      </w:r>
      <w:r>
        <w:lastRenderedPageBreak/>
        <w:t>ztrátu podpory této základny, bez ohledu na to, jak výhodná je taková koalice z hlediska přístupu k moci.</w:t>
      </w:r>
    </w:p>
    <w:p w14:paraId="7BE24250" w14:textId="77777777" w:rsidR="005E7A17" w:rsidRDefault="00505045">
      <w:pPr>
        <w:pStyle w:val="Zkladntext"/>
      </w:pPr>
      <w:r>
        <w:t>Tento předpoklad má testovatelný důsledek: koalice, které vznikají napříč konfiguracemi navzdory nízké kompatibilitě (kapitola 9.2), by podle modelu měly vznikat statisticky méně často než koalice v rámci bloku. Naopak koalice respektující gravitaci bloku (tedy zahrnující i jednoosé a dvouosé strany se souhlasným znaménkem na angažovaných osách) by měly vznikat častěji, a to tím spolehlivěji, čím vyšší je angažovanost zúčastněných stran na sdílených osách (dokument „Matematika a geometrie”, kapitola 7.3.4).</w:t>
      </w:r>
    </w:p>
    <w:p w14:paraId="7BE24251" w14:textId="77777777" w:rsidR="005E7A17" w:rsidRDefault="00505045">
      <w:pPr>
        <w:pStyle w:val="Nadpis2"/>
      </w:pPr>
      <w:bookmarkStart w:id="39" w:name="měření-koaliční-kompatibility-odkaz"/>
      <w:bookmarkEnd w:id="38"/>
      <w:r>
        <w:t>9.2 Měření koaliční kompatibility (odkaz)</w:t>
      </w:r>
    </w:p>
    <w:p w14:paraId="7BE24252" w14:textId="77777777" w:rsidR="005E7A17" w:rsidRDefault="00505045">
      <w:pPr>
        <w:pStyle w:val="FirstParagraph"/>
      </w:pPr>
      <w:r>
        <w:t>Formální měření koaliční kompatibility (překryv globulí, dřívější index IC), pravidlo volby klíčové osy a kritéria predikce vzniku koalice patří do aparátu a jsou popsány v dokumentu „Matematika a geometrie” (dokument „Matematika a geometrie” a 8) a v dokumentu „Metodologie, databáze a empirické ověření” (test principu nejslabšího článku). Tato kapitola uvádí jen ta tvrzení koaliční logiky, která plynou ze společenskovědních předpokladů modelu.</w:t>
      </w:r>
    </w:p>
    <w:p w14:paraId="7BE24253" w14:textId="77777777" w:rsidR="005E7A17" w:rsidRDefault="00505045">
      <w:pPr>
        <w:pStyle w:val="Nadpis2"/>
      </w:pPr>
      <w:bookmarkStart w:id="40" w:name="tři-hypotézy-o-voličské-preferenci"/>
      <w:bookmarkEnd w:id="39"/>
      <w:r>
        <w:t>9.3 Tři hypotézy o voličské preferenci</w:t>
      </w:r>
    </w:p>
    <w:p w14:paraId="7BE24254" w14:textId="77777777" w:rsidR="005E7A17" w:rsidRDefault="00505045">
      <w:pPr>
        <w:pStyle w:val="FirstParagraph"/>
      </w:pPr>
      <w:r>
        <w:t>Proč by racionální volič volil subjekt bez vyhraněné programatiky na dvou ze tří os, čili jednoosou stranu, model sám neřeší, jen ji formuluje testovatelně:</w:t>
      </w:r>
    </w:p>
    <w:p w14:paraId="7BE24255" w14:textId="77777777" w:rsidR="005E7A17" w:rsidRDefault="00505045">
      <w:pPr>
        <w:numPr>
          <w:ilvl w:val="0"/>
          <w:numId w:val="4"/>
        </w:numPr>
      </w:pPr>
      <w:r>
        <w:rPr>
          <w:b/>
          <w:bCs/>
        </w:rPr>
        <w:t>Valence, ne pozice.</w:t>
      </w:r>
      <w:r>
        <w:t xml:space="preserve"> Volič hodnotí kompetenci a důvěryhodnost, ne umístění v hodnotovém prostoru. Testovatelný důsledek: voliči takové strany by měli být na osách M a N vnitřně heterogenní, ne jednotní kolem nulové hodnoty.</w:t>
      </w:r>
    </w:p>
    <w:p w14:paraId="7BE24256" w14:textId="77777777" w:rsidR="005E7A17" w:rsidRDefault="00505045">
      <w:pPr>
        <w:numPr>
          <w:ilvl w:val="0"/>
          <w:numId w:val="4"/>
        </w:numPr>
      </w:pPr>
      <w:r>
        <w:rPr>
          <w:b/>
          <w:bCs/>
        </w:rPr>
        <w:t>Odmítnutí politizace zbylých os jako takové.</w:t>
      </w:r>
      <w:r>
        <w:t xml:space="preserve"> </w:t>
      </w:r>
      <w:r>
        <w:t>Volič nechce, aby se politika na osách M, N vůbec odehrávala jako spor. Testovatelný důsledek: rétorika strany by měla tyto otázky explicitně odsouvat na „vedlejší kolej”.</w:t>
      </w:r>
    </w:p>
    <w:p w14:paraId="7BE24257" w14:textId="77777777" w:rsidR="005E7A17" w:rsidRDefault="00505045">
      <w:pPr>
        <w:numPr>
          <w:ilvl w:val="0"/>
          <w:numId w:val="4"/>
        </w:numPr>
      </w:pPr>
      <w:r>
        <w:rPr>
          <w:b/>
          <w:bCs/>
        </w:rPr>
        <w:t>Flexibilita jako cíl sám o sobě.</w:t>
      </w:r>
      <w:r>
        <w:t xml:space="preserve"> Volič racionálně preferuje stranu se širokým koaličním potenciálem v podmínkách nejistoty o povolebním uspořádání. Testovatelný důsledek: podpora takové strany by měla růst s mírou fragmentace a nepředvídatelnosti stranického systému před volbami, neměla být konstantní v čase.</w:t>
      </w:r>
    </w:p>
    <w:p w14:paraId="7BE24258" w14:textId="77777777" w:rsidR="005E7A17" w:rsidRDefault="00505045">
      <w:pPr>
        <w:pStyle w:val="FirstParagraph"/>
      </w:pPr>
      <w:r>
        <w:t>Tyto tři hypotézy nejsou vzájemně vylučující; jejich rozlišení je úkolem pro dokumentu „Metodologie, databáze a empirické ověření”, ne pro tuto kapitolu.</w:t>
      </w:r>
    </w:p>
    <w:p w14:paraId="7BE24259" w14:textId="77777777" w:rsidR="005E7A17" w:rsidRDefault="00505045">
      <w:pPr>
        <w:pStyle w:val="Nadpis2"/>
      </w:pPr>
      <w:bookmarkStart w:id="41" w:name="technokratické-vládnutí"/>
      <w:bookmarkEnd w:id="40"/>
      <w:r>
        <w:t>9.4 Technokratické vládnutí</w:t>
      </w:r>
    </w:p>
    <w:p w14:paraId="7BE2425A" w14:textId="77777777" w:rsidR="005E7A17" w:rsidRDefault="00505045">
      <w:pPr>
        <w:pStyle w:val="FirstParagraph"/>
      </w:pPr>
      <w:r>
        <w:t>Kapitola 7.3 zavedla důležité rozlišení: geometrický střed prostoru L-E-F (L=E=F=0) není totéž, co syntéza nebo průměr tří vrcholů, je to bod nulové tendence ve všech třech dimenzích. Zbývá ale otázka, jaký typ vládnutí tomuto bodu odpovídá, pokud vůbec nějaký.</w:t>
      </w:r>
    </w:p>
    <w:p w14:paraId="7BE2425B" w14:textId="77777777" w:rsidR="005E7A17" w:rsidRDefault="00505045">
      <w:pPr>
        <w:pStyle w:val="Nadpis3"/>
      </w:pPr>
      <w:bookmarkStart w:id="42" w:name="geometrická-pozice-vystoupení-z-prostoru"/>
      <w:r>
        <w:t>9.4.1 Geometrická pozice: vystoupení z prostoru</w:t>
      </w:r>
    </w:p>
    <w:p w14:paraId="7BE2425C" w14:textId="77777777" w:rsidR="005E7A17" w:rsidRDefault="00505045">
      <w:pPr>
        <w:pStyle w:val="FirstParagraph"/>
      </w:pPr>
      <w:r>
        <w:t xml:space="preserve">Je nutné odlišit dvě věci, které by mohly být snadno zaměněny: </w:t>
      </w:r>
      <w:r>
        <w:rPr>
          <w:b/>
          <w:bCs/>
        </w:rPr>
        <w:t>stranu blízko středu</w:t>
      </w:r>
      <w:r>
        <w:t xml:space="preserve"> (subjekt s reálnou, byť slabou tendencí na všech třech osách) a </w:t>
      </w:r>
      <w:r>
        <w:rPr>
          <w:b/>
          <w:bCs/>
        </w:rPr>
        <w:t>technokratickou vládu</w:t>
      </w:r>
      <w:r>
        <w:t xml:space="preserve">. Strana blízko středu zůstává uvnitř prostoru L-E-F a má vlastní, byť nevýraznou pozici, a soutěží o legitimitu na základě volebního výsledku jako každý jiný subjekt. Technokratická vláda naopak </w:t>
      </w:r>
      <w:r>
        <w:rPr>
          <w:b/>
          <w:bCs/>
        </w:rPr>
        <w:t>prostor L-E-F opouští jako celek</w:t>
      </w:r>
      <w:r>
        <w:t xml:space="preserve">, takže její legitimita není odvozena z pozice v hodnotovém prostoru </w:t>
      </w:r>
      <w:r>
        <w:lastRenderedPageBreak/>
        <w:t xml:space="preserve">vůbec, ale z </w:t>
      </w:r>
      <w:r>
        <w:rPr>
          <w:b/>
          <w:bCs/>
        </w:rPr>
        <w:t>pragmatické suspendace</w:t>
      </w:r>
      <w:r>
        <w:t xml:space="preserve"> </w:t>
      </w:r>
      <w:r>
        <w:t>substantivní podoby politické soutěže samotné (typicky ve jménu odbornosti, krizového řízení, nebo dočasného překlenutí patové situace).</w:t>
      </w:r>
    </w:p>
    <w:p w14:paraId="7BE2425D" w14:textId="77777777" w:rsidR="005E7A17" w:rsidRDefault="00505045">
      <w:pPr>
        <w:pStyle w:val="Zkladntext"/>
      </w:pPr>
      <w:r>
        <w:t xml:space="preserve">Tahle geometrická interpretace se přímo odvozuje od logiky dokument „Matematika a geometrie”, kapitola 7.3.1: bod L=E=F=0 je zároveň </w:t>
      </w:r>
      <w:r>
        <w:rPr>
          <w:b/>
          <w:bCs/>
        </w:rPr>
        <w:t>jediným místem, kde se sbíhá všech šest jehlanů</w:t>
      </w:r>
      <w:r>
        <w:t xml:space="preserve">, je jediným bodem, kde je klasifikace do libovolné dvojjehlanové poloviny nerozhodnutelná. Technokratické vládnutí lze takto chápat jako praktický, institucionální výraz týž geometrické nerozhodnutelnosti: místo aby se volilo mezi tendencemi, tak se dočasně </w:t>
      </w:r>
      <w:r>
        <w:rPr>
          <w:b/>
          <w:bCs/>
        </w:rPr>
        <w:t>ustoupí</w:t>
      </w:r>
      <w:r>
        <w:t xml:space="preserve"> z nutnosti volby.</w:t>
      </w:r>
    </w:p>
    <w:p w14:paraId="7BE2425E" w14:textId="77777777" w:rsidR="005E7A17" w:rsidRDefault="00505045">
      <w:pPr>
        <w:pStyle w:val="Nadpis3"/>
      </w:pPr>
      <w:bookmarkStart w:id="43" w:name="X4331a99b66f343c8059213bf0ec8a71e05dcc60"/>
      <w:bookmarkEnd w:id="42"/>
      <w:r>
        <w:t>9.4.2 Odlišení od jednoosé, dvouosé a tříosé kategorie</w:t>
      </w:r>
    </w:p>
    <w:p w14:paraId="7BE2425F" w14:textId="77777777" w:rsidR="005E7A17" w:rsidRDefault="00505045">
      <w:pPr>
        <w:pStyle w:val="FirstParagraph"/>
      </w:pPr>
      <w:r>
        <w:t>Technokratická vláda se principiálně liší od všech tří kategorií popsaných výše: jednoosá i dvouosá strana mají na některé z os jasnou, silnou pozici, jen na zbylých osách zůstávají neangažované, ale pořád jde o politický, substantivně ukotvený subjekt. Tříosá (bloková) strana má jasnou pozici na všech třech osách zároveň. Společně mohou utvořit vládu, která odpovídá některé z pojmenovaných konfigurací vládnutí (dokument „Matematika a geometrie”, kapitola 7.3.4). Technokratická vláda nemá žádnou substantivn</w:t>
      </w:r>
      <w:r>
        <w:t>í pozici ne proto, že by byla "průměrná" nebo "umírněná", ale protože si substantivní pozicování jako takové</w:t>
      </w:r>
      <w:r>
        <w:t xml:space="preserve"> </w:t>
      </w:r>
      <w:r>
        <w:rPr>
          <w:b/>
          <w:bCs/>
        </w:rPr>
        <w:t>odmítá klást za cíl</w:t>
      </w:r>
      <w:r>
        <w:t>.</w:t>
      </w:r>
    </w:p>
    <w:p w14:paraId="7BE24260" w14:textId="77777777" w:rsidR="005E7A17" w:rsidRDefault="00505045">
      <w:pPr>
        <w:pStyle w:val="Nadpis3"/>
      </w:pPr>
      <w:bookmarkStart w:id="44" w:name="důsledek-pro-empirickou-analýzu"/>
      <w:bookmarkEnd w:id="43"/>
      <w:r>
        <w:t>9.4.3 Důsledek pro empirickou analýzu</w:t>
      </w:r>
    </w:p>
    <w:p w14:paraId="7BE24261" w14:textId="77777777" w:rsidR="005E7A17" w:rsidRDefault="00505045">
      <w:pPr>
        <w:pStyle w:val="FirstParagraph"/>
      </w:pPr>
      <w:r>
        <w:t>Protože se míra koaliční kompatibility (kapitola 9.2) i celá logika predikce vzniku koalice opírají o pozice v prostoru L-E-F, nejsou na technokratické vládnutí aplikovatelné, protože schází substantivní vstup, který by míra kompatibility vůbec mohla srovnávat. Empirická analýza v této práci (dokument „Metodologie, databáze a empirické ověření”) proto technokratické (tzv. "caretaker") vlády z datového vzorku systematicky vylučuje, protože spadají mimo definiční obor modelu podobně, jako non-seeking strany (</w:t>
      </w:r>
      <w:r>
        <w:t>kapitola 9.5), jen z jiného, institucionálního důvodu, ne z důvodu neupřímnosti řečového aktu.</w:t>
      </w:r>
    </w:p>
    <w:p w14:paraId="7BE24262" w14:textId="77777777" w:rsidR="005E7A17" w:rsidRDefault="00505045">
      <w:pPr>
        <w:pStyle w:val="Zkladntext"/>
      </w:pPr>
      <w:r>
        <w:t>Ilustrativní příklad technokratického vládnutí je vláda Maria Draghiho v Itálii (2021–2022) sestavená napříč téměř celým stranickým spektrem (od Ligy po Hnutí pěti hvězd), čili nikoli na základě sdílené substantivní pozice, ale na základě dočasné, široce sdílené shody na nutnosti odborného, nestranického řešení pandemické a rozpočtové krize. Takováto vláda leží podle logiky kapitoly 9.4 (kritéria A/B/C) mimo strukturu vzniku koalice, což přesně odpovídá jejímu skutečnému mechanismu vzniku.</w:t>
      </w:r>
    </w:p>
    <w:p w14:paraId="7BE24263" w14:textId="77777777" w:rsidR="005E7A17" w:rsidRDefault="00505045">
      <w:pPr>
        <w:pStyle w:val="Nadpis2"/>
      </w:pPr>
      <w:bookmarkStart w:id="45" w:name="X8cb9fc8ea310f8196ae3be57d1f4fe2977c73ec"/>
      <w:bookmarkEnd w:id="41"/>
      <w:bookmarkEnd w:id="44"/>
      <w:r>
        <w:t>9.5 Non-seeking strany: subjekty mimo definiční obor modelu</w:t>
      </w:r>
    </w:p>
    <w:p w14:paraId="7BE24264" w14:textId="77777777" w:rsidR="005E7A17" w:rsidRDefault="00505045">
      <w:pPr>
        <w:pStyle w:val="Nadpis3"/>
      </w:pPr>
      <w:bookmarkStart w:id="46" w:name="ukotvení-ve-strømově-typologii"/>
      <w:r>
        <w:t>9.5.1 Ukotvení ve Strømově typologii</w:t>
      </w:r>
    </w:p>
    <w:p w14:paraId="7BE24265" w14:textId="77777777" w:rsidR="005E7A17" w:rsidRDefault="00505045">
      <w:pPr>
        <w:pStyle w:val="FirstParagraph"/>
      </w:pPr>
      <w:r>
        <w:t>Strøm (1990) rozlišuje tři ideální typy stranické motivace: vote-seeking, office-seeking, policy-seeking, které se navzájem liší v tom, čeho strana skrze politickou účast usiluje dosáhnout (hlasy, úřady, program), ale sdílejí jeden nevyřčený předpoklad: že politická účast je nástrojem k dosažení nějakého substantivního cíle. Typická otázka všech tří typů má stejnou vnitřní strukturu: "Co musíme udělat, abychom dosáhli X?", kde X se mezi typy mění, ale nástrojový vztah mezi účastí a cílem zůstává konstantní.</w:t>
      </w:r>
    </w:p>
    <w:p w14:paraId="7BE24266" w14:textId="77777777" w:rsidR="005E7A17" w:rsidRDefault="00505045">
      <w:pPr>
        <w:pStyle w:val="Zkladntext"/>
      </w:pPr>
      <w:r>
        <w:t>Existuje čtvrtý typ subjektu, který tenhle nástrojový vztah neguje jako celek. Nazýváme ho non-seeking strana. Jeho typická otázka nemá tvar "čeho chceme dosáhnout", protože smyslem je znejistit, zesměšnit nebo odmítnout samotný rámec, ve kterém se otázka klade.</w:t>
      </w:r>
    </w:p>
    <w:p w14:paraId="7BE24267" w14:textId="77777777" w:rsidR="005E7A17" w:rsidRDefault="00505045">
      <w:pPr>
        <w:pStyle w:val="Zkladntext"/>
      </w:pPr>
      <w:r>
        <w:lastRenderedPageBreak/>
        <w:t>Tenhle rozdíl tedy není přidání čtvrtého vrcholu do Strømova trojúhelníku tří cílů (jako by šlo o čtvrtou hodnotu proměnné X), ale je to systémová negace principů, na kterých je celý trojúhelník postavený. Non-seeking strana neleží nikde uvnitř prostoru vote-/office-/policy-seeking vážení; leží mimo něj, protože odmítá premisu, že je politická účast prostředkem k libovolnému cíli. Samotné gesto negace by šlo volně nazvat "cílem" non-seeking strany, ale je to cíl jiné logické úrovně, něco jako komentář k sys</w:t>
      </w:r>
      <w:r>
        <w:t>tému, zesměšnění systému, nikoli akceptování pravidel systému, a proto nejde o čtvrtou hodnotu proměnné X, kterou Strøm popisuje.</w:t>
      </w:r>
    </w:p>
    <w:p w14:paraId="7BE24268" w14:textId="77777777" w:rsidR="005E7A17" w:rsidRDefault="00505045">
      <w:pPr>
        <w:pStyle w:val="Nadpis3"/>
      </w:pPr>
      <w:bookmarkStart w:id="47" w:name="Xafc3f8ce1aaaeae116c729c5c57b05680df6dec"/>
      <w:bookmarkEnd w:id="46"/>
      <w:r>
        <w:t>9.5.2 Definice přes negaci instrumentálního vztahu ke hře</w:t>
      </w:r>
    </w:p>
    <w:p w14:paraId="7BE24269" w14:textId="77777777" w:rsidR="005E7A17" w:rsidRDefault="00505045">
      <w:pPr>
        <w:pStyle w:val="FirstParagraph"/>
      </w:pPr>
      <w:r>
        <w:t xml:space="preserve">Definičním znakem je </w:t>
      </w:r>
      <w:r>
        <w:rPr>
          <w:b/>
          <w:bCs/>
        </w:rPr>
        <w:t>negace instrumentálního vztahu k politické hře jako takové</w:t>
      </w:r>
      <w:r>
        <w:t>: non-seeking strana je taková, jejíž vztah k politické účasti nespočívá v tom, že by účast byla prostředkem k dosažení nějakého cíle uvnitř prostoru (ať jde o hlasy, úřady, nebo prosazenou politiku), ale v tom, že samotný rámec této hry buď odmítá jako neplatný, nebo ho zesměšňuje.</w:t>
      </w:r>
    </w:p>
    <w:p w14:paraId="7BE2426A" w14:textId="77777777" w:rsidR="005E7A17" w:rsidRDefault="00505045">
      <w:pPr>
        <w:pStyle w:val="Zkladntext"/>
      </w:pPr>
      <w:r>
        <w:t>Tahle negace, které lze považovat za systémové selhání, protože ovlivňuje celkový výsledek soutěže, může nastat dvěma věcně odlišnými mechanismy, které je nutné důsledně rozlišovat:</w:t>
      </w:r>
    </w:p>
    <w:p w14:paraId="7BE2426B" w14:textId="77777777" w:rsidR="005E7A17" w:rsidRDefault="00505045">
      <w:pPr>
        <w:pStyle w:val="Compact"/>
        <w:numPr>
          <w:ilvl w:val="0"/>
          <w:numId w:val="5"/>
        </w:numPr>
      </w:pPr>
      <w:r>
        <w:rPr>
          <w:b/>
          <w:bCs/>
        </w:rPr>
        <w:t>Selhání podmínky relevance/přijetí hry.</w:t>
      </w:r>
      <w:r>
        <w:t xml:space="preserve"> </w:t>
      </w:r>
      <w:r>
        <w:t xml:space="preserve">Subjekt odmítá legitimitu hry při zachované upřímnosti. V takovém případě neselhává podmínka upřímnosti řečového aktu (Austin 1962; Searle 1969), protože mluvčí tvrdí přesně to, co si myslí, ale selhává mlčky předpokládaná podmínka, že účastník tím, že "hraje", zároveň přijímá legitimitu hry samotné. Typicky, ale ne nutně, se projevuje jako organizované "bílé" hlasování v systémech s povinnou volební účastí, v principu by ale mohl mít i podobu kandidující strany s tímto poselstvím. </w:t>
      </w:r>
      <w:r>
        <w:rPr>
          <w:b/>
          <w:bCs/>
        </w:rPr>
        <w:t>Jedná se o upřímnou neangažovanost.</w:t>
      </w:r>
    </w:p>
    <w:p w14:paraId="7BE2426C" w14:textId="77777777" w:rsidR="005E7A17" w:rsidRDefault="00505045">
      <w:pPr>
        <w:pStyle w:val="Compact"/>
        <w:numPr>
          <w:ilvl w:val="0"/>
          <w:numId w:val="6"/>
        </w:numPr>
      </w:pPr>
      <w:r>
        <w:rPr>
          <w:b/>
          <w:bCs/>
        </w:rPr>
        <w:t>Selhání podmínky upřímnosti.</w:t>
      </w:r>
      <w:r>
        <w:t xml:space="preserve"> </w:t>
      </w:r>
      <w:r>
        <w:t xml:space="preserve">Subjekt prezentuje svoje pozice formou politického programu, ale porušuje podmínku upřímnosti řečového aktu, protože neočekává ani nechce, aby byl program brán jako popis stavu, jehož má být dosaženo politickým prosazením. Program slibující výstřední, absurdní opatření ("zákaz klobouků pro dvousetleté pány pod trestem useknutí třetí ruky") bychom mohli pro zjednodušení nazývat da-da-policy. Smyslem účasti je zesměšnění volebního rituálu samotného, ne vyjádření vážného protestu proti systému jako takovému. </w:t>
      </w:r>
      <w:r>
        <w:rPr>
          <w:b/>
          <w:bCs/>
        </w:rPr>
        <w:t>Jedná se o neupřímnou angažovanost.</w:t>
      </w:r>
    </w:p>
    <w:p w14:paraId="7BE2426D" w14:textId="77777777" w:rsidR="005E7A17" w:rsidRDefault="00505045">
      <w:pPr>
        <w:pStyle w:val="FirstParagraph"/>
      </w:pPr>
      <w:r>
        <w:t>Společné oběma mechanismům, a tedy definiční pro celou kategorii, je až důsledek: veřejně prezentovaný vztah takové strany k prostoru L-E-F, ať vypadá formálně jakkoli, nenese informaci o skutečné pozici.</w:t>
      </w:r>
    </w:p>
    <w:p w14:paraId="7BE2426E" w14:textId="77777777" w:rsidR="005E7A17" w:rsidRDefault="00505045">
      <w:pPr>
        <w:pStyle w:val="Nadpis3"/>
      </w:pPr>
      <w:bookmarkStart w:id="48" w:name="Xe98af29e45b080431b0689dab31e5bb982d1554"/>
      <w:bookmarkEnd w:id="47"/>
      <w:r>
        <w:t>9.5.3 Geometrický status a důsledek pro koaliční logiku</w:t>
      </w:r>
    </w:p>
    <w:p w14:paraId="7BE2426F" w14:textId="77777777" w:rsidR="005E7A17" w:rsidRDefault="00505045">
      <w:pPr>
        <w:pStyle w:val="FirstParagraph"/>
      </w:pPr>
      <w:r>
        <w:t>Non-seeking strana se nachází mimo definiční obor modelu, není extrémní nebo neutrální uvnitř modelu. Tím se principiálně liší od dvou už popsaných kategorií, se kterými by mohla být zaměněna při kódování:</w:t>
      </w:r>
    </w:p>
    <w:p w14:paraId="7BE24270" w14:textId="77777777" w:rsidR="005E7A17" w:rsidRDefault="00505045">
      <w:pPr>
        <w:numPr>
          <w:ilvl w:val="0"/>
          <w:numId w:val="7"/>
        </w:numPr>
      </w:pPr>
      <w:r>
        <w:rPr>
          <w:b/>
          <w:bCs/>
        </w:rPr>
        <w:t>Genuinní centristická strana</w:t>
      </w:r>
      <w:r>
        <w:t xml:space="preserve"> (kapitola 7.3) má L≈E≈F≈0 jako upřímnou pozici; je to seeking typ blízko počátku prostoru.</w:t>
      </w:r>
    </w:p>
    <w:p w14:paraId="7BE24271" w14:textId="77777777" w:rsidR="005E7A17" w:rsidRDefault="00505045">
      <w:pPr>
        <w:numPr>
          <w:ilvl w:val="0"/>
          <w:numId w:val="7"/>
        </w:numPr>
      </w:pPr>
      <w:r>
        <w:rPr>
          <w:b/>
          <w:bCs/>
        </w:rPr>
        <w:t>Jednoosá strana</w:t>
      </w:r>
      <w:r>
        <w:t xml:space="preserve"> má silnou pozici na jedné ose jako svoji upřímnou pozici; je to seeking typ na kraji prostoru.</w:t>
      </w:r>
    </w:p>
    <w:p w14:paraId="7BE24272" w14:textId="77777777" w:rsidR="005E7A17" w:rsidRDefault="00505045">
      <w:pPr>
        <w:pStyle w:val="FirstParagraph"/>
      </w:pPr>
      <w:r>
        <w:t>Non-seeking strana může formálně vyjít kdekoli (blízko počátku i na extrémním kraji), protože poloha, kterou by jí přiřadil mechanický výpočet z jejího programu, nenese informaci o skutečné pozici. Otázka "seeking, nebo non-seeking" je nezávislá na otázce "kde v prostoru".</w:t>
      </w:r>
    </w:p>
    <w:p w14:paraId="7BE24273" w14:textId="77777777" w:rsidR="005E7A17" w:rsidRDefault="00505045">
      <w:pPr>
        <w:pStyle w:val="Zkladntext"/>
      </w:pPr>
      <w:r>
        <w:lastRenderedPageBreak/>
        <w:t>Míra koaliční kompatibility (kapitola 9.2) mlčky předpokládá, že obě porovnávané strany usilují o účast ve vládě, protože jinak nemá koaliční kompatibilita smysl. U non-seeking strany proto výpočet kompatibility ztrácí smysl, i kdyby ho bylo formálně možné provést.</w:t>
      </w:r>
    </w:p>
    <w:p w14:paraId="7BE24274" w14:textId="77777777" w:rsidR="005E7A17" w:rsidRDefault="00505045">
      <w:pPr>
        <w:pStyle w:val="Nadpis3"/>
      </w:pPr>
      <w:bookmarkStart w:id="49" w:name="X1222db6240e8e7f0d94e8c6e22c02db719ff50d"/>
      <w:bookmarkEnd w:id="48"/>
      <w:r>
        <w:t>9.5.4 Metodologické riziko pro empirickou aplikaci</w:t>
      </w:r>
    </w:p>
    <w:p w14:paraId="7BE24275" w14:textId="77777777" w:rsidR="005E7A17" w:rsidRDefault="00505045">
      <w:pPr>
        <w:pStyle w:val="FirstParagraph"/>
      </w:pPr>
      <w:r>
        <w:t xml:space="preserve">Ani textová analýza (MARPOR, dokument „Metodologie, databáze a empirické ověření”), ani expertní kódování (CHES, V-Party), nemají vestavěný mechanismus na rozpoznání neupřímnosti, protože kódovací schéma i expertní odhad zpracovávají prezentovaný obsah, ne záměr, se kterým byl prezentován. Extrémní, ale neupřímná pozice může být v datech omylem zařazena jako upřímná, čímž zkreslí agregát (kapitola 8.3), zejména pokud taková strana získá nezanedbatelný počet hlasů. Každá analýza dat musí zahrnout explicitní </w:t>
      </w:r>
      <w:r>
        <w:t>kontrolu na non-seeking typ subjektu, než bude do agregátů zahrnut. Typickým varovným signálem je kombinace vysoké volební viditelnosti (mediální pozornost, protestní hlasy) s nulovým institucionálním chováním (subjekt se reálně neangažuje v zastupitelských sborech, program se mezi kampaněmi nevyvíjí, chybí jakákoli koaliční aktivita).</w:t>
      </w:r>
    </w:p>
    <w:p w14:paraId="7BE24276" w14:textId="77777777" w:rsidR="005E7A17" w:rsidRDefault="00505045">
      <w:pPr>
        <w:pStyle w:val="Nadpis3"/>
      </w:pPr>
      <w:bookmarkStart w:id="50" w:name="strany-s-nepřiznanou-osou-angažovanosti"/>
      <w:bookmarkEnd w:id="49"/>
      <w:r>
        <w:t>9.5.5 Strany s nepřiznanou osou angažovanosti</w:t>
      </w:r>
    </w:p>
    <w:p w14:paraId="7BE24277" w14:textId="77777777" w:rsidR="005E7A17" w:rsidRDefault="00505045">
      <w:pPr>
        <w:pStyle w:val="FirstParagraph"/>
      </w:pPr>
      <w:r>
        <w:t xml:space="preserve">Z analytického hlediska je nutné vymezit typ strany, která jedná upřímně i angažovaně, ale svoji skutečnou angažovanost na některé ose skrývá. V praxi se může jednat o stranu, která formuluje svůj program upřímně třeba jen na dvou osách ze tří, protože upřímný program pro třetí osu je ve skutečnosti extrémistický. Taková strana by mohla být chybně kódována například jako genuinně centristická, nebo jako strana s „pouze” velkou angažovaností na ose s nepřiznanou skutečnou angažovaností. Varovné signály jsou </w:t>
      </w:r>
      <w:r>
        <w:t>podobné jako u non-seeking subjektů, čili vysoká volební viditelnost, ale na rozdíl od nich může strana s nepřiznanou osou angažovanosti běžně usilovat o zastupitelské posty. Existence takových stran není chyba modelu L-E-F, ale naopak potvrzení základních předpokladů jeho vzniku, že strany spíše reprezentují hodnoty svých voličů. Voliči mohou svoji skutečnou substantivní pozici v dotazníkovém šetření skrývat. Od raných verzí modelu se s tímto efektem pracuje jako se „salonfähig šumem”.</w:t>
      </w:r>
      <w:r>
        <w:br/>
      </w:r>
    </w:p>
    <w:p w14:paraId="7BE24278" w14:textId="77777777" w:rsidR="005E7A17" w:rsidRDefault="00505045">
      <w:pPr>
        <w:pStyle w:val="Nadpis1"/>
      </w:pPr>
      <w:bookmarkStart w:id="51" w:name="Xa9781238c1afb24139bbbb89a773ffaa3b5dfdb"/>
      <w:bookmarkEnd w:id="37"/>
      <w:bookmarkEnd w:id="45"/>
      <w:bookmarkEnd w:id="50"/>
      <w:r>
        <w:t>10. Hystereze v prostoru L-E-F: asymetrie demokratického úpadku a obnovy</w:t>
      </w:r>
    </w:p>
    <w:p w14:paraId="7BE24279" w14:textId="77777777" w:rsidR="005E7A17" w:rsidRDefault="00505045">
      <w:pPr>
        <w:pStyle w:val="Nadpis2"/>
      </w:pPr>
      <w:bookmarkStart w:id="52" w:name="základní-tvrzení"/>
      <w:r>
        <w:t>10.1 Základní tvrzení</w:t>
      </w:r>
    </w:p>
    <w:p w14:paraId="7BE2427A" w14:textId="77777777" w:rsidR="005E7A17" w:rsidRDefault="00505045">
      <w:pPr>
        <w:pStyle w:val="FirstParagraph"/>
      </w:pPr>
      <w:r>
        <w:t>Tvrzení o „asymetrii demokratického úpadku a obnovy” lze nyní formulovat přesně pomocí aparátu z dokumentu „Matematika a geometrie”, 8 a 10: konfigurace E+F−, ke které míří demokratický úpadek, je totožná s některou z konfigurací s L- ("autoritativní tendence na ose L"), čili pohyb systému směrem k těmto konfiguracím znamená vzdalování se od vrcholu L+, tedy pokles agregované hodnoty μ_L definované v kapitole 8.3. Návrat ke konfiguracím kolem L+ neznamená nutně návrat až velké či extrémní tendenci L+, ale r</w:t>
      </w:r>
      <w:r>
        <w:t>ůst μ_L nad kritický práh (val, kapitola 8.4) natolik, aby systém unikl gravitačnímu poli konfigurací L-, postupnému nárůstu systémové opresivity a pádu do autoritativní spirály.</w:t>
      </w:r>
    </w:p>
    <w:p w14:paraId="7BE2427B" w14:textId="77777777" w:rsidR="005E7A17" w:rsidRDefault="00505045">
      <w:pPr>
        <w:pStyle w:val="Zkladntext"/>
      </w:pPr>
      <w:r>
        <w:t xml:space="preserve">Opačný proces, čili únik z autoritativní spirály, je energeticky nesmírně náročný. Předpokládal by mimořádnou aktivitu tendencí směrem k L+, a to za situace nejen „pouhé” systémové opresivity, ale i proti silné represivitě moci. Úpadek do autoritativní spirály je tedy poměrně snadný, protože </w:t>
      </w:r>
      <w:r>
        <w:lastRenderedPageBreak/>
        <w:t>stačí opakovaně nereagovat i na malé autoritativní tendence, ale únik z autoritativní spirály předpokládá extrémní úsilí. Tento jev je hystereze politického prostoru.</w:t>
      </w:r>
    </w:p>
    <w:p w14:paraId="7BE2427C" w14:textId="77777777" w:rsidR="005E7A17" w:rsidRDefault="00505045">
      <w:pPr>
        <w:pStyle w:val="Nadpis2"/>
      </w:pPr>
      <w:bookmarkStart w:id="53" w:name="metafora-přehrad"/>
      <w:bookmarkEnd w:id="52"/>
      <w:r>
        <w:t>10.2 Metafora přehrad</w:t>
      </w:r>
    </w:p>
    <w:p w14:paraId="7BE2427D" w14:textId="77777777" w:rsidR="005E7A17" w:rsidRDefault="00505045">
      <w:pPr>
        <w:pStyle w:val="FirstParagraph"/>
      </w:pPr>
      <w:r>
        <w:t>Metafora dvou přehrad nad sebou dobře ukazuje a samovolnou nevratnost pohybu. Horní přehrada odpovídá konfiguraci L+ (vysoké μ_L), dolní přehrada konfiguraci E+F− (čili konfiguraci s velkou angažovaností na pólech E+ a F−). Vztah mezi přehradami je podobný jako v přečerpávací elektrárně. Voda mezi nimi představuje energii systému (politickou, institucionální a hodnotovou). Pohyb z horní nádrže do dolní (úpadek) je pohyb po spádu a děje se sám díky gravitaci, jakmile je jednou překročena hráz (val) mezi nádr</w:t>
      </w:r>
      <w:r>
        <w:t>žemi. Pohyb opačným směrem (obnova) vyžaduje aktivní přečerpání vody proti spádu, čili dodatečnou energii, nikoli pouhé „čekání na přirozenou změnu”.</w:t>
      </w:r>
    </w:p>
    <w:p w14:paraId="7BE2427E" w14:textId="77777777" w:rsidR="005E7A17" w:rsidRDefault="00505045">
      <w:pPr>
        <w:pStyle w:val="Zkladntext"/>
      </w:pPr>
      <w:r>
        <w:t>Tato metafora vysvětluje, proč úpadek a obnova nejsou jen kvantitativně různě rychlé, ale kvalitativně odlišné typy procesů: úpadek je uvolnění (či spíše vyčerpání) uložené energie, obnova je její opětovné dodání.</w:t>
      </w:r>
    </w:p>
    <w:p w14:paraId="7BE2427F" w14:textId="77777777" w:rsidR="005E7A17" w:rsidRDefault="00505045">
      <w:pPr>
        <w:pStyle w:val="Zkladntext"/>
      </w:pPr>
      <w:r>
        <w:rPr>
          <w:noProof/>
        </w:rPr>
        <w:drawing>
          <wp:inline distT="0" distB="0" distL="0" distR="0" wp14:anchorId="7BE2436F" wp14:editId="7BE24370">
            <wp:extent cx="3810000" cy="276225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media_v6/media/image2.png"/>
                    <pic:cNvPicPr>
                      <a:picLocks noChangeAspect="1" noChangeArrowheads="1"/>
                    </pic:cNvPicPr>
                  </pic:nvPicPr>
                  <pic:blipFill>
                    <a:blip r:embed="rId8"/>
                    <a:stretch>
                      <a:fillRect/>
                    </a:stretch>
                  </pic:blipFill>
                  <pic:spPr bwMode="auto">
                    <a:xfrm>
                      <a:off x="0" y="0"/>
                      <a:ext cx="3810000" cy="2762250"/>
                    </a:xfrm>
                    <a:prstGeom prst="rect">
                      <a:avLst/>
                    </a:prstGeom>
                    <a:noFill/>
                    <a:ln w="9525">
                      <a:noFill/>
                      <a:headEnd/>
                      <a:tailEnd/>
                    </a:ln>
                  </pic:spPr>
                </pic:pic>
              </a:graphicData>
            </a:graphic>
          </wp:inline>
        </w:drawing>
      </w:r>
    </w:p>
    <w:p w14:paraId="7BE24280" w14:textId="77777777" w:rsidR="005E7A17" w:rsidRDefault="00505045">
      <w:pPr>
        <w:pStyle w:val="Zkladntext"/>
      </w:pPr>
      <w:r>
        <w:rPr>
          <w:i/>
          <w:iCs/>
        </w:rPr>
        <w:t>Obrázek 1: Hystereze politického prostoru — rychlý pohyb po spádu při úpadku versus pomalý, opožděný návrat při obnově, respektive úniku z autoritativní spirály.</w:t>
      </w:r>
    </w:p>
    <w:p w14:paraId="7BE24281" w14:textId="77777777" w:rsidR="005E7A17" w:rsidRDefault="00505045">
      <w:pPr>
        <w:pStyle w:val="Nadpis2"/>
      </w:pPr>
      <w:bookmarkStart w:id="54" w:name="X7736b134264b5107f625292260e9a09f7f964d5"/>
      <w:bookmarkEnd w:id="53"/>
      <w:r>
        <w:t>10.3 Demokracie jako energeticky nákladný stav</w:t>
      </w:r>
    </w:p>
    <w:p w14:paraId="7BE24282" w14:textId="77777777" w:rsidR="005E7A17" w:rsidRDefault="00505045">
      <w:pPr>
        <w:pStyle w:val="FirstParagraph"/>
      </w:pPr>
      <w:r>
        <w:t xml:space="preserve">Tvrzení, že konfigurace L+ je energeticky nákladnější než E+F−, má oporu už v kapitole 3.3: svoboda v dimenzi L a je definována Pettitovým republikánským pojetím jako absence libovolné moci jednoho aktéra nad druhým, což ale podle samotné republikánské tradice není stav, který lze jednou nastolit a pak ponechat bez údržby, ale stav vyžadující trvalou institucionální a občanskou bdělost proti koncentraci moci. Vysoké μ_L tedy není většinou jednorázově dosažitelná pozice, ale pozice, kterou je nutné průběžně </w:t>
      </w:r>
      <w:r>
        <w:t>energeticky dotovat (účastí, kontrolou moci, aktivním občanstvím). Vysoké μ_L lze jednorázově získat pouze za zcela mimořádných situací.</w:t>
      </w:r>
    </w:p>
    <w:p w14:paraId="7BE24283" w14:textId="77777777" w:rsidR="005E7A17" w:rsidRDefault="00505045">
      <w:pPr>
        <w:pStyle w:val="Zkladntext"/>
      </w:pPr>
      <w:r>
        <w:t xml:space="preserve">Konfigurace E+F− naproti tomu nevyžaduje tuto trvalou investici: koncentrace moci (nízké L) je z hlediska energetické bilance jednotlivého aktéra levnější, protože nevyžaduje udržování distribuovaných kontrolních mechanismů. To je přesně důvod, proč autoritativní mechanismus </w:t>
      </w:r>
      <w:r>
        <w:lastRenderedPageBreak/>
        <w:t>funguje jako spirála směrem dolů, nikoli nahoru: jakmile investice do L klesne, systém neustrne na místě, ale pokračuje po spádu, protože chybějící údržba sama o sobě představuje ušlou energii, kterou by bylo nutné dodat zpět.</w:t>
      </w:r>
    </w:p>
    <w:p w14:paraId="7BE24284" w14:textId="77777777" w:rsidR="005E7A17" w:rsidRDefault="00505045">
      <w:pPr>
        <w:pStyle w:val="Nadpis2"/>
      </w:pPr>
      <w:bookmarkStart w:id="55" w:name="val-výška-prahu-mezi-přehradami"/>
      <w:bookmarkEnd w:id="54"/>
      <w:r>
        <w:t>10.4 Val: výška prahu mezi přehradami</w:t>
      </w:r>
    </w:p>
    <w:p w14:paraId="7BE24285" w14:textId="77777777" w:rsidR="005E7A17" w:rsidRDefault="00505045">
      <w:pPr>
        <w:pStyle w:val="FirstParagraph"/>
      </w:pPr>
      <w:r>
        <w:t>Val, spojený v kapitole 8.4 s agregovanou hodnotou μ_L, má zde svůj kvalitativní protějšek: je to internalizovaná hodnota (jako „prodemokratický” esprit général, nebo „lepší demokraté tvořící lepší demokracii” u Masaryka), která dělá vysoké μ_L subjektivně přirozeným natolik, že se společnost aktivně brání jeho poklesu, aniž by to vnímala jako zvláštní úsilí. Val tedy není totéž co μ_L samotné, ale spíše mechanismus, který μ_L udržuje nad kritickou hranicí: měřitelná hodnota (kapitola 8.3) je projevem, espr</w:t>
      </w:r>
      <w:r>
        <w:t>it général je příčinou.</w:t>
      </w:r>
    </w:p>
    <w:p w14:paraId="7BE24286" w14:textId="77777777" w:rsidR="005E7A17" w:rsidRDefault="00505045">
      <w:pPr>
        <w:pStyle w:val="Zkladntext"/>
      </w:pPr>
      <w:r>
        <w:t>Výška valu určuje, jak velký šok (pokles agregovaného μ_L vyvolaný krizí, propagandou nebo vnějším tlakem) je společnost schopna vstřebat, aniž by překročila práh úpadku do gravitačního pole dolní přehrady. Nízký val neznamená, že společnost už je v úpadku, ale znamená, že vzdálenost k prahu je malá a i menší šok může vyvolat nevratný pohyb popsaný metaforou v 11.2.</w:t>
      </w:r>
    </w:p>
    <w:p w14:paraId="7BE24287" w14:textId="77777777" w:rsidR="005E7A17" w:rsidRDefault="00505045">
      <w:pPr>
        <w:pStyle w:val="Zkladntext"/>
      </w:pPr>
      <w:r>
        <w:rPr>
          <w:noProof/>
        </w:rPr>
        <w:drawing>
          <wp:inline distT="0" distB="0" distL="0" distR="0" wp14:anchorId="7BE24371" wp14:editId="7BE24372">
            <wp:extent cx="3810000" cy="276225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media_v6/media/image3.png"/>
                    <pic:cNvPicPr>
                      <a:picLocks noChangeAspect="1" noChangeArrowheads="1"/>
                    </pic:cNvPicPr>
                  </pic:nvPicPr>
                  <pic:blipFill>
                    <a:blip r:embed="rId9"/>
                    <a:stretch>
                      <a:fillRect/>
                    </a:stretch>
                  </pic:blipFill>
                  <pic:spPr bwMode="auto">
                    <a:xfrm>
                      <a:off x="0" y="0"/>
                      <a:ext cx="3810000" cy="2762250"/>
                    </a:xfrm>
                    <a:prstGeom prst="rect">
                      <a:avLst/>
                    </a:prstGeom>
                    <a:noFill/>
                    <a:ln w="9525">
                      <a:noFill/>
                      <a:headEnd/>
                      <a:tailEnd/>
                    </a:ln>
                  </pic:spPr>
                </pic:pic>
              </a:graphicData>
            </a:graphic>
          </wp:inline>
        </w:drawing>
      </w:r>
    </w:p>
    <w:p w14:paraId="7BE24288" w14:textId="77777777" w:rsidR="005E7A17" w:rsidRDefault="00505045">
      <w:pPr>
        <w:pStyle w:val="Zkladntext"/>
      </w:pPr>
      <w:r>
        <w:rPr>
          <w:i/>
          <w:iCs/>
        </w:rPr>
        <w:t>Obrázek 2: Val jako výška prahu mezi dvěma přehradami — gravitace úpadku versus energie potřebná pro obnovu.</w:t>
      </w:r>
    </w:p>
    <w:p w14:paraId="7BE24289" w14:textId="77777777" w:rsidR="005E7A17" w:rsidRDefault="00505045">
      <w:pPr>
        <w:pStyle w:val="Nadpis2"/>
      </w:pPr>
      <w:bookmarkStart w:id="56" w:name="mechanismus-návratu"/>
      <w:bookmarkEnd w:id="55"/>
      <w:r>
        <w:t>10.5 Mechanismus návratu</w:t>
      </w:r>
    </w:p>
    <w:p w14:paraId="7BE2428A" w14:textId="77777777" w:rsidR="005E7A17" w:rsidRDefault="00505045">
      <w:pPr>
        <w:pStyle w:val="FirstParagraph"/>
      </w:pPr>
      <w:r>
        <w:t>Primárním a nejspolehlivějším mechanismem obnovy je generační výměna: funguje jako spodní hranice rychlosti, jakou lze val skutečně obnovit prostřednictvím přirozené výměny hodnotových proudů, nikoli jako mechanismus vynucený institucionální změnou. Je to zároveň jediný mechanismus, který podle modelu nevyžaduje vnější energetický vstup ve smyslu 11.2 (hodnotová obnova se děje jako vedlejší produkt biologické a sociální reprodukce populace, nikoli jako záměrný politický projekt).</w:t>
      </w:r>
    </w:p>
    <w:p w14:paraId="7BE2428B" w14:textId="77777777" w:rsidR="005E7A17" w:rsidRDefault="00505045">
      <w:pPr>
        <w:pStyle w:val="Zkladntext"/>
      </w:pPr>
      <w:r>
        <w:t xml:space="preserve">Existují i rychlejší mechanismy obnovy (revoluční zvraty, nábožensko-kulturní reformace, kritické historické momenty), které dokážou zvednout μ_L v řádu let, nikoli desetiletí. Tyto mechanismy jsou předmětem kapitoly 11 a je nutné je od generační obnovy odlišit právě na základě metafory z 11.2: jde o vnesení velkého množství energie najednou, nikoli o postupné přečerpávání, či </w:t>
      </w:r>
      <w:r>
        <w:lastRenderedPageBreak/>
        <w:t>spíše natékání; a jak kapitola 11 ukazuje, taková rychlá obnova nese vlastní rizika nestability, která generační mechanismus nemá.</w:t>
      </w:r>
    </w:p>
    <w:p w14:paraId="7BE2428C" w14:textId="77777777" w:rsidR="005E7A17" w:rsidRDefault="00505045">
      <w:pPr>
        <w:pStyle w:val="Nadpis2"/>
      </w:pPr>
      <w:bookmarkStart w:id="57" w:name="hystereze-a-úpadek-demokracie"/>
      <w:bookmarkEnd w:id="56"/>
      <w:r>
        <w:t>10.6 Hystereze a úpadek demokracie</w:t>
      </w:r>
    </w:p>
    <w:p w14:paraId="7BE2428D" w14:textId="77777777" w:rsidR="005E7A17" w:rsidRDefault="00505045">
      <w:pPr>
        <w:pStyle w:val="FirstParagraph"/>
      </w:pPr>
      <w:r>
        <w:t xml:space="preserve">Literatura o úpadku demokracie (democratic backsliding), kterou reprezentují Levitsky a Ziblatt a Mudde, popisuje úpadek demokracie primárně jako proces eroze norem (přesněji chování elit) a jako produkt populistické mobilizace proti pluralismu. L-E-F model do této debaty nevstupuje jako konkurenční popis týchž jevů, ale jako formální vysvětlení jednoho jejich rysu, který zůstává v této literatuře většinou empirickým pozorováním bez teoretického zdůvodnění: totiž proč je pozorovaná asymetrie mezi rychlostí </w:t>
      </w:r>
      <w:r>
        <w:t>úpadku a rychlostí obnovy tak konzistentní napříč případy. Metafora přehrad a mechanismus autoritativní spirály (kapitola 3.5.2) nabízejí strukturální, nikoli jen popisné vysvětlení této asymetrie. Úpadek lze očekávat i v případech, které jsme dosud nepředpokládali.</w:t>
      </w:r>
    </w:p>
    <w:p w14:paraId="7BE2428E" w14:textId="77777777" w:rsidR="005E7A17" w:rsidRDefault="00505045">
      <w:pPr>
        <w:pStyle w:val="Nadpis2"/>
      </w:pPr>
      <w:bookmarkStart w:id="58" w:name="falsifikovatelná-tvrzení-o-hysterezi"/>
      <w:bookmarkEnd w:id="57"/>
      <w:r>
        <w:t>10.7 Falsifikovatelná tvrzení o hysterezi</w:t>
      </w:r>
    </w:p>
    <w:p w14:paraId="7BE2428F" w14:textId="77777777" w:rsidR="005E7A17" w:rsidRDefault="00505045">
      <w:pPr>
        <w:numPr>
          <w:ilvl w:val="0"/>
          <w:numId w:val="8"/>
        </w:numPr>
      </w:pPr>
      <w:r>
        <w:t>Tvrzení 1: Odolnost demokratického systému vůči konfiguraci E+F− koreluje s výškou valu (agregovaného μ_L) na počátku sledovaného období: systémy s vyšším počátečním μ_L by měly vyžadovat větší (pokles alespoň na μ_L-1) nebo déletrvající (více než 2 volební období, čili 3 a více) šok k překročení prahu než systémy s nízkým μ_L. Testovatelné porovnáním historických trajektorií μ_L (rekonstruovaných postupem z kapitoly 8.3) před obdobími úpadku.</w:t>
      </w:r>
    </w:p>
    <w:p w14:paraId="7BE24290" w14:textId="77777777" w:rsidR="005E7A17" w:rsidRDefault="00505045">
      <w:pPr>
        <w:numPr>
          <w:ilvl w:val="0"/>
          <w:numId w:val="8"/>
        </w:numPr>
      </w:pPr>
      <w:r>
        <w:t>Tvrzení 2: Společnosti procházející státním socialismem (velká až extrémní angažovanost na E+ i F− současně) vykazují hlubší pokles μ_L a pomalejší návrat než společnosti, jejichž autoritářství se opíralo jen o jednu substantivní osu (výrazná angažovanost buď na E+, nebo na F−). Testovatelné srovnáním rychlosti poválečné demokratizace mezi zeměmi s odlišnou hloubkou předchozího autoritářského režimu.</w:t>
      </w:r>
    </w:p>
    <w:p w14:paraId="7BE24291" w14:textId="77777777" w:rsidR="005E7A17" w:rsidRDefault="00505045">
      <w:pPr>
        <w:numPr>
          <w:ilvl w:val="0"/>
          <w:numId w:val="8"/>
        </w:numPr>
      </w:pPr>
      <w:r>
        <w:t>Tvrzení 3: Demokratický úpadek zanechává institucionální stopu, která mění podmínky pro případný návrat; konkrétně snižuje resilienci valu (val je i po jednom cyklu úpadku a obnovy méně odolný než před prvním cyklem). Testovatelné srovnáním odolnosti systémů s jedním a s opakovanými historickými cykly úpadku/obnovy vůči novým šokům.</w:t>
      </w:r>
    </w:p>
    <w:p w14:paraId="7BE24292" w14:textId="77777777" w:rsidR="005E7A17" w:rsidRDefault="00505045">
      <w:pPr>
        <w:pStyle w:val="Nadpis1"/>
      </w:pPr>
      <w:bookmarkStart w:id="59" w:name="X85120a0318381318b506d33dbd10e96866bcad1"/>
      <w:bookmarkEnd w:id="51"/>
      <w:bookmarkEnd w:id="58"/>
      <w:r>
        <w:t>11. Zdroje energie posilující osu L: revoluce, reformace a kritické body</w:t>
      </w:r>
    </w:p>
    <w:p w14:paraId="7BE24293" w14:textId="77777777" w:rsidR="005E7A17" w:rsidRDefault="00505045">
      <w:pPr>
        <w:pStyle w:val="FirstParagraph"/>
      </w:pPr>
      <w:r>
        <w:t>Tato kapitola tak doplňuje teorii hystereze o vysvětlení geneze: model nyní popisuje nejen to, proč je demokratický úpadek rychlejší než obnova, ale i to, odkud se vůbec bere energie, která poprvé v historii dokázala vybudovat val na ose L.</w:t>
      </w:r>
    </w:p>
    <w:p w14:paraId="7BE24294" w14:textId="77777777" w:rsidR="005E7A17" w:rsidRDefault="00505045">
      <w:pPr>
        <w:pStyle w:val="Zkladntext"/>
      </w:pPr>
      <w:r>
        <w:t>Kapitola 10 ukázala, že konfigurace E+F− je přirozeným atraktorem politického prostoru. Zbývá zodpovědět zrcadlovou otázku: odkud se bere energie, která dokáže tuto přirozenou gravitaci překonat a poprvé vybudovat val na ose L?</w:t>
      </w:r>
    </w:p>
    <w:p w14:paraId="7BE24295" w14:textId="77777777" w:rsidR="005E7A17" w:rsidRDefault="00505045">
      <w:pPr>
        <w:pStyle w:val="Zkladntext"/>
      </w:pPr>
      <w:r>
        <w:t>Tato kapitola identifikuje na základě srovnávací historické sociologie tři strukturální zdroje energie: náboženskou reformaci, revoluce a kritické body, a mezinárodní difuzi demokratických norem.</w:t>
      </w:r>
    </w:p>
    <w:p w14:paraId="7BE24296" w14:textId="77777777" w:rsidR="005E7A17" w:rsidRDefault="00505045">
      <w:pPr>
        <w:pStyle w:val="Zkladntext"/>
      </w:pPr>
      <w:r>
        <w:rPr>
          <w:noProof/>
        </w:rPr>
        <w:lastRenderedPageBreak/>
        <w:drawing>
          <wp:inline distT="0" distB="0" distL="0" distR="0" wp14:anchorId="7BE24373" wp14:editId="7BE24374">
            <wp:extent cx="3810000" cy="26670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media_v6/media/image4.png"/>
                    <pic:cNvPicPr>
                      <a:picLocks noChangeAspect="1" noChangeArrowheads="1"/>
                    </pic:cNvPicPr>
                  </pic:nvPicPr>
                  <pic:blipFill>
                    <a:blip r:embed="rId10"/>
                    <a:stretch>
                      <a:fillRect/>
                    </a:stretch>
                  </pic:blipFill>
                  <pic:spPr bwMode="auto">
                    <a:xfrm>
                      <a:off x="0" y="0"/>
                      <a:ext cx="3810000" cy="2667000"/>
                    </a:xfrm>
                    <a:prstGeom prst="rect">
                      <a:avLst/>
                    </a:prstGeom>
                    <a:noFill/>
                    <a:ln w="9525">
                      <a:noFill/>
                      <a:headEnd/>
                      <a:tailEnd/>
                    </a:ln>
                  </pic:spPr>
                </pic:pic>
              </a:graphicData>
            </a:graphic>
          </wp:inline>
        </w:drawing>
      </w:r>
    </w:p>
    <w:p w14:paraId="7BE24297" w14:textId="77777777" w:rsidR="005E7A17" w:rsidRDefault="00505045">
      <w:pPr>
        <w:pStyle w:val="Zkladntext"/>
      </w:pPr>
      <w:r>
        <w:rPr>
          <w:i/>
          <w:iCs/>
        </w:rPr>
        <w:t>Obrázek 3: Tři strukturální zdroje energie posilující osu L proti přirozené gravitaci politického prostoru.</w:t>
      </w:r>
    </w:p>
    <w:p w14:paraId="7BE24298" w14:textId="77777777" w:rsidR="005E7A17" w:rsidRDefault="00505045">
      <w:pPr>
        <w:pStyle w:val="Nadpis2"/>
      </w:pPr>
      <w:bookmarkStart w:id="60" w:name="X2bdafb0f2614aa55a837dbbfe22b4e9a2a53329"/>
      <w:r>
        <w:t>11.1 První zdroj: náboženská reformace a vnitrosvětský asketismus</w:t>
      </w:r>
    </w:p>
    <w:p w14:paraId="7BE24299" w14:textId="77777777" w:rsidR="005E7A17" w:rsidRDefault="00505045">
      <w:pPr>
        <w:pStyle w:val="FirstParagraph"/>
      </w:pPr>
      <w:r>
        <w:t>Nejstarším a v literatuře nejlépe zdokumentovaným zdrojem energie posilující individuální autonomii je proces, který Max Weber popsal ve svém klasickém díle Die protestantische Ethik und der Geist des Kapitalismus</w:t>
      </w:r>
      <w:r>
        <w:rPr>
          <w:rStyle w:val="Znakapoznpodarou"/>
        </w:rPr>
        <w:footnoteReference w:id="33"/>
      </w:r>
      <w:r>
        <w:t>. Weber ukázal, že evropská reformace, zejména v kalvínské a puritánské podobě, přinesla zásadní psychologickou a sociální transformaci: doktrína predestinace zbavila jedince možnosti zprostředkované spásy skrze církevní autoritu a uvrhla ho do stavu, který Weber označil jako 'niterné osamění jednotlivce'.</w:t>
      </w:r>
    </w:p>
    <w:p w14:paraId="7BE2429A" w14:textId="77777777" w:rsidR="005E7A17" w:rsidRDefault="00505045">
      <w:pPr>
        <w:pStyle w:val="Zkladntext"/>
      </w:pPr>
      <w:r>
        <w:t>Historicky je tento mechanismus doložitelný na politickém vývoji zemí s dominantní kalvínskou nebo puritánskou tradicí (Nizozemí, Anglie, později Nová Anglie), kde reformace předcházela a pravděpodobně podmiňovala pozdější institucionální posun k parlamentarismu a omezené vládě.</w:t>
      </w:r>
    </w:p>
    <w:p w14:paraId="7BE2429B" w14:textId="77777777" w:rsidR="005E7A17" w:rsidRDefault="00505045">
      <w:pPr>
        <w:pStyle w:val="Zkladntext"/>
      </w:pPr>
      <w:r>
        <w:t>V pojmech kapitoly 10.3 je tento mechanismus prvním historickým dokladem toho, že energii posilující μ_L lze získat i jinak než postupnou generační akumulací: Kalvínský vnitrosvětský asketismus vytvořil energii pro L přímo na úrovni jednotlivce sebekázní, osobní odpovědností za spásu bez zprostředkující autority. Agregace tisíců takto individuálně "dobitých" jednotlivců (kapitola 8.3) se promítla do růstu μ_L na úrovni celého systému. Je to tedy zdroj energie zdola a zevnitř, na rozdíl od zdroje popsaného v</w:t>
      </w:r>
      <w:r>
        <w:t xml:space="preserve"> kapitole 10.3.</w:t>
      </w:r>
    </w:p>
    <w:p w14:paraId="7BE2429C" w14:textId="77777777" w:rsidR="005E7A17" w:rsidRDefault="00505045">
      <w:pPr>
        <w:pStyle w:val="Nadpis2"/>
      </w:pPr>
      <w:bookmarkStart w:id="61" w:name="druhý-zdroj-revoluce-a-kritické-okamžiky"/>
      <w:bookmarkEnd w:id="60"/>
      <w:r>
        <w:t>11.2 Druhý zdroj: revoluce a kritické okamžiky</w:t>
      </w:r>
    </w:p>
    <w:p w14:paraId="7BE2429D" w14:textId="77777777" w:rsidR="005E7A17" w:rsidRDefault="00505045">
      <w:pPr>
        <w:pStyle w:val="FirstParagraph"/>
      </w:pPr>
      <w:r>
        <w:t>Klíčovým teoretickým zdrojem pro tuto část modelu je komparativní historická sociologie Barringtona Moora</w:t>
      </w:r>
      <w:r>
        <w:rPr>
          <w:rStyle w:val="Znakapoznpodarou"/>
        </w:rPr>
        <w:footnoteReference w:id="34"/>
      </w:r>
      <w:r>
        <w:t xml:space="preserve">, jehož dílo Social Origins of Dictatorship and Democracy zůstává jedním z </w:t>
      </w:r>
      <w:r>
        <w:lastRenderedPageBreak/>
        <w:t>nejvlivnějších vysvětlení toho, proč některé agrární společnosti dospěly k liberální demokracii, jiné k fašismu a další ke komunismu.</w:t>
      </w:r>
    </w:p>
    <w:p w14:paraId="7BE2429E" w14:textId="77777777" w:rsidR="005E7A17" w:rsidRDefault="00505045">
      <w:pPr>
        <w:pStyle w:val="Zkladntext"/>
      </w:pPr>
      <w:r>
        <w:t>Moore na základě komparace Anglie, Francie, Spojených států, Číny, Japonska a Indie odvodil tři odlišné cesty modernizace, přičemž jeho nejcitovanější závěr zní: bez silné a na pozemkové aristokracii nezávislé buržoazie nevzniká demokratický výsledek.</w:t>
      </w:r>
    </w:p>
    <w:p w14:paraId="7BE2429F" w14:textId="77777777" w:rsidR="005E7A17" w:rsidRDefault="00505045">
      <w:pPr>
        <w:pStyle w:val="Zkladntext"/>
      </w:pPr>
      <w:r>
        <w:t>Tři Moorovy cesty lze přímo přiřadit k blokové logice z kapitoly 7.2: "revoluce shora" produkuje přechodnou konfiguraci E+F−; "rolnická revoluce" vede k extrémnímu L− s vysokým E+, tedy k ještě hlubšímu usazení v tomtéž bloku, ale blíže jeho E+ vrcholu; jedině "buržoazní revoluce zdola" je cesta, která E+F− opouští a konsoliduje L+ nad úrovní potřebnou pro vznik valu. Moorovo srovnání tak ukazuje, že revoluce sama o sobě není zdrojem energie pro L vždycky, ale pouze tehdy, když společenská koalice, která ji</w:t>
      </w:r>
      <w:r>
        <w:t xml:space="preserve"> nese, má zájem na omezení moci (buržoazie nezávislá na pozemkové aristokracii), zatímco revoluce nesená jinou koalicí (rolnictvo, nebo aristokracie „nahrazující” buržoazii) energii přesměruje hlouběji do E+F−, nikoli proti němu.</w:t>
      </w:r>
    </w:p>
    <w:tbl>
      <w:tblPr>
        <w:tblStyle w:val="Table"/>
        <w:tblW w:w="9072" w:type="dxa"/>
        <w:tblLayout w:type="fixed"/>
        <w:tblLook w:val="0020" w:firstRow="1" w:lastRow="0" w:firstColumn="0" w:lastColumn="0" w:noHBand="0" w:noVBand="0"/>
      </w:tblPr>
      <w:tblGrid>
        <w:gridCol w:w="2268"/>
        <w:gridCol w:w="2268"/>
        <w:gridCol w:w="2268"/>
        <w:gridCol w:w="2268"/>
      </w:tblGrid>
      <w:tr w:rsidR="005E7A17" w14:paraId="7BE242A4" w14:textId="77777777" w:rsidTr="005E7A17">
        <w:trPr>
          <w:cnfStyle w:val="100000000000" w:firstRow="1" w:lastRow="0" w:firstColumn="0" w:lastColumn="0" w:oddVBand="0" w:evenVBand="0" w:oddHBand="0" w:evenHBand="0" w:firstRowFirstColumn="0" w:firstRowLastColumn="0" w:lastRowFirstColumn="0" w:lastRowLastColumn="0"/>
          <w:tblHeader/>
        </w:trPr>
        <w:tc>
          <w:tcPr>
            <w:tcW w:w="2268" w:type="dxa"/>
          </w:tcPr>
          <w:p w14:paraId="7BE242A0" w14:textId="77777777" w:rsidR="005E7A17" w:rsidRDefault="00505045">
            <w:pPr>
              <w:pStyle w:val="Compact"/>
            </w:pPr>
            <w:r>
              <w:rPr>
                <w:b/>
                <w:bCs/>
              </w:rPr>
              <w:t>Cesta k modernitě</w:t>
            </w:r>
          </w:p>
        </w:tc>
        <w:tc>
          <w:tcPr>
            <w:tcW w:w="2268" w:type="dxa"/>
          </w:tcPr>
          <w:p w14:paraId="7BE242A1" w14:textId="77777777" w:rsidR="005E7A17" w:rsidRDefault="00505045">
            <w:pPr>
              <w:pStyle w:val="Compact"/>
            </w:pPr>
            <w:r>
              <w:rPr>
                <w:b/>
                <w:bCs/>
              </w:rPr>
              <w:t>Sociální koalice</w:t>
            </w:r>
          </w:p>
        </w:tc>
        <w:tc>
          <w:tcPr>
            <w:tcW w:w="2268" w:type="dxa"/>
          </w:tcPr>
          <w:p w14:paraId="7BE242A2" w14:textId="77777777" w:rsidR="005E7A17" w:rsidRDefault="00505045">
            <w:pPr>
              <w:pStyle w:val="Compact"/>
            </w:pPr>
            <w:r>
              <w:rPr>
                <w:b/>
                <w:bCs/>
              </w:rPr>
              <w:t>Výsledná konfigurace L-E-F</w:t>
            </w:r>
          </w:p>
        </w:tc>
        <w:tc>
          <w:tcPr>
            <w:tcW w:w="2268" w:type="dxa"/>
          </w:tcPr>
          <w:p w14:paraId="7BE242A3" w14:textId="77777777" w:rsidR="005E7A17" w:rsidRDefault="00505045">
            <w:pPr>
              <w:pStyle w:val="Compact"/>
            </w:pPr>
            <w:r>
              <w:rPr>
                <w:b/>
                <w:bCs/>
              </w:rPr>
              <w:t>Příklad</w:t>
            </w:r>
          </w:p>
        </w:tc>
      </w:tr>
      <w:tr w:rsidR="005E7A17" w14:paraId="7BE242A9" w14:textId="77777777" w:rsidTr="005E7A17">
        <w:tc>
          <w:tcPr>
            <w:tcW w:w="2268" w:type="dxa"/>
          </w:tcPr>
          <w:p w14:paraId="7BE242A5" w14:textId="77777777" w:rsidR="005E7A17" w:rsidRDefault="00505045">
            <w:pPr>
              <w:pStyle w:val="Compact"/>
            </w:pPr>
            <w:r>
              <w:t>Buržoazní revoluce zdola</w:t>
            </w:r>
          </w:p>
        </w:tc>
        <w:tc>
          <w:tcPr>
            <w:tcW w:w="2268" w:type="dxa"/>
          </w:tcPr>
          <w:p w14:paraId="7BE242A6" w14:textId="77777777" w:rsidR="005E7A17" w:rsidRDefault="00505045">
            <w:pPr>
              <w:pStyle w:val="Compact"/>
            </w:pPr>
            <w:r>
              <w:t>Silná buržoazie + slabá aristokracie + oslabené rolnictvo</w:t>
            </w:r>
          </w:p>
        </w:tc>
        <w:tc>
          <w:tcPr>
            <w:tcW w:w="2268" w:type="dxa"/>
          </w:tcPr>
          <w:p w14:paraId="7BE242A7" w14:textId="77777777" w:rsidR="005E7A17" w:rsidRDefault="00505045">
            <w:pPr>
              <w:pStyle w:val="Compact"/>
            </w:pPr>
            <w:r>
              <w:t>L+ konsoliduje, val roste</w:t>
            </w:r>
          </w:p>
        </w:tc>
        <w:tc>
          <w:tcPr>
            <w:tcW w:w="2268" w:type="dxa"/>
          </w:tcPr>
          <w:p w14:paraId="7BE242A8" w14:textId="77777777" w:rsidR="005E7A17" w:rsidRDefault="00505045">
            <w:pPr>
              <w:pStyle w:val="Compact"/>
            </w:pPr>
            <w:r>
              <w:t>Anglie, Francie (dlouhodobě), USA</w:t>
            </w:r>
          </w:p>
        </w:tc>
      </w:tr>
      <w:tr w:rsidR="005E7A17" w14:paraId="7BE242AE" w14:textId="77777777" w:rsidTr="005E7A17">
        <w:tc>
          <w:tcPr>
            <w:tcW w:w="2268" w:type="dxa"/>
          </w:tcPr>
          <w:p w14:paraId="7BE242AA" w14:textId="77777777" w:rsidR="005E7A17" w:rsidRDefault="00505045">
            <w:pPr>
              <w:pStyle w:val="Compact"/>
            </w:pPr>
            <w:r>
              <w:t>Revoluce shora (konzervativní modernizace)</w:t>
            </w:r>
          </w:p>
        </w:tc>
        <w:tc>
          <w:tcPr>
            <w:tcW w:w="2268" w:type="dxa"/>
          </w:tcPr>
          <w:p w14:paraId="7BE242AB" w14:textId="77777777" w:rsidR="005E7A17" w:rsidRDefault="00505045">
            <w:pPr>
              <w:pStyle w:val="Compact"/>
            </w:pPr>
            <w:r>
              <w:t>Silná aristokracie nahrazuje buržoazii, rolnictvo potlačeno</w:t>
            </w:r>
          </w:p>
        </w:tc>
        <w:tc>
          <w:tcPr>
            <w:tcW w:w="2268" w:type="dxa"/>
          </w:tcPr>
          <w:p w14:paraId="7BE242AC" w14:textId="77777777" w:rsidR="005E7A17" w:rsidRDefault="00505045">
            <w:pPr>
              <w:pStyle w:val="Compact"/>
            </w:pPr>
            <w:r>
              <w:t>L− s ekonomickou modernizací — přechodná E+F−</w:t>
            </w:r>
          </w:p>
        </w:tc>
        <w:tc>
          <w:tcPr>
            <w:tcW w:w="2268" w:type="dxa"/>
          </w:tcPr>
          <w:p w14:paraId="7BE242AD" w14:textId="77777777" w:rsidR="005E7A17" w:rsidRDefault="00505045">
            <w:pPr>
              <w:pStyle w:val="Compact"/>
            </w:pPr>
            <w:r>
              <w:t>Německo (do 1945), Japonsko (do 1945)</w:t>
            </w:r>
          </w:p>
        </w:tc>
      </w:tr>
      <w:tr w:rsidR="005E7A17" w14:paraId="7BE242B3" w14:textId="77777777" w:rsidTr="005E7A17">
        <w:tc>
          <w:tcPr>
            <w:tcW w:w="2268" w:type="dxa"/>
          </w:tcPr>
          <w:p w14:paraId="7BE242AF" w14:textId="77777777" w:rsidR="005E7A17" w:rsidRDefault="00505045">
            <w:pPr>
              <w:pStyle w:val="Compact"/>
            </w:pPr>
            <w:r>
              <w:t>Rolnická revoluce</w:t>
            </w:r>
          </w:p>
        </w:tc>
        <w:tc>
          <w:tcPr>
            <w:tcW w:w="2268" w:type="dxa"/>
          </w:tcPr>
          <w:p w14:paraId="7BE242B0" w14:textId="77777777" w:rsidR="005E7A17" w:rsidRDefault="00505045">
            <w:pPr>
              <w:pStyle w:val="Compact"/>
            </w:pPr>
            <w:r>
              <w:t>Slabá buržoazie, silné a nezávislé rolnictvo, kolaps agrární byrokracie</w:t>
            </w:r>
          </w:p>
        </w:tc>
        <w:tc>
          <w:tcPr>
            <w:tcW w:w="2268" w:type="dxa"/>
          </w:tcPr>
          <w:p w14:paraId="7BE242B1" w14:textId="77777777" w:rsidR="005E7A17" w:rsidRDefault="00505045">
            <w:pPr>
              <w:pStyle w:val="Compact"/>
            </w:pPr>
            <w:r>
              <w:t>Extrémní L− s E++ — komunistická varianta</w:t>
            </w:r>
          </w:p>
        </w:tc>
        <w:tc>
          <w:tcPr>
            <w:tcW w:w="2268" w:type="dxa"/>
          </w:tcPr>
          <w:p w14:paraId="7BE242B2" w14:textId="77777777" w:rsidR="005E7A17" w:rsidRDefault="00505045">
            <w:pPr>
              <w:pStyle w:val="Compact"/>
            </w:pPr>
            <w:r>
              <w:t>Rusko, Čína</w:t>
            </w:r>
          </w:p>
        </w:tc>
      </w:tr>
    </w:tbl>
    <w:p w14:paraId="7BE242B4" w14:textId="77777777" w:rsidR="005E7A17" w:rsidRDefault="00505045">
      <w:pPr>
        <w:pStyle w:val="Zkladntext"/>
      </w:pPr>
      <w:r>
        <w:t>Komplementární teoretický rámec nabízejí Daron Acemoglu a James Robinson v díle Why Nations Fail</w:t>
      </w:r>
      <w:r>
        <w:rPr>
          <w:rStyle w:val="Znakapoznpodarou"/>
        </w:rPr>
        <w:footnoteReference w:id="35"/>
      </w:r>
      <w:r>
        <w:t>. Jejich koncept kritických bodů (critical junctures) popisuje historické momenty, v nichž malé počáteční institucionální rozdíly vedou k výrazně odlišným dlouhodobým trajektoriím. Příkladem budiž anglická Glorious Revolution z roku 1688.</w:t>
      </w:r>
    </w:p>
    <w:p w14:paraId="7BE242B5" w14:textId="77777777" w:rsidR="005E7A17" w:rsidRDefault="00505045">
      <w:pPr>
        <w:pStyle w:val="Nadpis2"/>
      </w:pPr>
      <w:bookmarkStart w:id="62" w:name="X6316889e9ac461465cd77d7afdbe81e946200d0"/>
      <w:bookmarkEnd w:id="61"/>
      <w:r>
        <w:t>11.3 Třetí zdroj: mezinárodní difuze a podmíněnost</w:t>
      </w:r>
    </w:p>
    <w:p w14:paraId="7BE242B6" w14:textId="77777777" w:rsidR="005E7A17" w:rsidRDefault="00505045">
      <w:pPr>
        <w:pStyle w:val="FirstParagraph"/>
      </w:pPr>
      <w:r>
        <w:t>Mezinárodní difuze demokratických norem, kterou Samuel Huntington</w:t>
      </w:r>
      <w:r>
        <w:rPr>
          <w:rStyle w:val="Znakapoznpodarou"/>
        </w:rPr>
        <w:footnoteReference w:id="36"/>
      </w:r>
      <w:r>
        <w:t xml:space="preserve"> popsal jako třetí vlnu demokratizace, se od předchozích dvou zdrojů energie liší v jednom zásadním ohledu: nejde o energii vytvořenou uvnitř systému (individuální sebekázní jako u reformace, nebo vnitřní sociální koalicí jako u revoluce), ale o energii importovanou zvenčí. Tento rozdíl má přímý důsledek pro odolnost valu, který tímto zdrojem vznikne.</w:t>
      </w:r>
    </w:p>
    <w:p w14:paraId="7BE242B7" w14:textId="77777777" w:rsidR="005E7A17" w:rsidRDefault="00505045">
      <w:pPr>
        <w:pStyle w:val="Zkladntext"/>
      </w:pPr>
      <w:r>
        <w:t xml:space="preserve">Mechanismus difuze funguje dvěma způsoby. Prvním je nápodoba: demonstrační efekt úspěšné demokratizace v sousedních nebo kulturně blízkých zemích, který snižuje vnímané riziko a </w:t>
      </w:r>
      <w:r>
        <w:lastRenderedPageBreak/>
        <w:t>náklady podobného přechodu. Druhým, silnějším mechanismem je podmíněnost: mezinárodní instituce (Evropská unie, NATO) podmiňují členství a výhody z něho plynoucí splněním demokratických kritérií, čímž vytvářejí přímou vnější pobídku k udržování vysokého μ_L i tam, kde by domácí energetická bilance z kapitoly 10.3 sama o sobě k takové investici nevedla.</w:t>
      </w:r>
    </w:p>
    <w:p w14:paraId="7BE242B8" w14:textId="77777777" w:rsidR="005E7A17" w:rsidRDefault="00505045">
      <w:pPr>
        <w:pStyle w:val="Zkladntext"/>
      </w:pPr>
      <w:r>
        <w:t>Právě proto je tento zdroj energie ve svém působení nejrychlejší ze všech tří (podmíněnost může zvednout μ_L v horizontu let či dokonce měsíců, ne generací), ale je zároveň nejméně odolný: jakmile vnější podmíněnost pomine nebo se změní (dokončení přístupového procesu, změna geopolitické orientace mezinárodní instituce), zdroj energie zmizí, a pokud mezitím neproběhla dostatečná generační sedimentace popsaná v kapitole 10.5 (pokud se importovaná energie nestihla přeměnit na vlastní esprit général), tak se μ</w:t>
      </w:r>
      <w:r>
        <w:t>_L začne vracet směrem k úrovni, které by odpovídala čistě domácí energetické bilanci.</w:t>
      </w:r>
    </w:p>
    <w:p w14:paraId="7BE242B9" w14:textId="77777777" w:rsidR="005E7A17" w:rsidRDefault="00505045">
      <w:pPr>
        <w:pStyle w:val="Nadpis2"/>
      </w:pPr>
      <w:bookmarkStart w:id="63" w:name="X29542a4eb7bdb445078dc9e754aef410cd0dacf"/>
      <w:bookmarkEnd w:id="62"/>
      <w:r>
        <w:t>11.4 Kombinace zdrojů: případ střední a východní Evropy</w:t>
      </w:r>
    </w:p>
    <w:p w14:paraId="7BE242BA" w14:textId="77777777" w:rsidR="005E7A17" w:rsidRDefault="00505045">
      <w:pPr>
        <w:pStyle w:val="FirstParagraph"/>
      </w:pPr>
      <w:r>
        <w:t>Sčítat se mohou i jednotlivé zdroje, a to je klíč k přesnějšímu pochopení geneze vzniku valu ve střední a východní Evropě. Polská Solidarita byla masové stávkové hnutí, které mělo charakter skutečné, byť převážně nenásilné revoluce zdola. Sametová revoluce v Československu odpovídá tomu, co Acemoglu a Robinson označují jako kritický okamžik. Tyto vnitřní impulsy byly bezprostředně následovány a podstatně posíleny třetím zdrojem energie, mezinárodní difuzí.</w:t>
      </w:r>
    </w:p>
    <w:tbl>
      <w:tblPr>
        <w:tblStyle w:val="Table"/>
        <w:tblW w:w="9072" w:type="dxa"/>
        <w:tblLayout w:type="fixed"/>
        <w:tblLook w:val="0020" w:firstRow="1" w:lastRow="0" w:firstColumn="0" w:lastColumn="0" w:noHBand="0" w:noVBand="0"/>
      </w:tblPr>
      <w:tblGrid>
        <w:gridCol w:w="1772"/>
        <w:gridCol w:w="3650"/>
        <w:gridCol w:w="3650"/>
      </w:tblGrid>
      <w:tr w:rsidR="005E7A17" w14:paraId="7BE242BE" w14:textId="77777777" w:rsidTr="005E7A17">
        <w:trPr>
          <w:cnfStyle w:val="100000000000" w:firstRow="1" w:lastRow="0" w:firstColumn="0" w:lastColumn="0" w:oddVBand="0" w:evenVBand="0" w:oddHBand="0" w:evenHBand="0" w:firstRowFirstColumn="0" w:firstRowLastColumn="0" w:lastRowFirstColumn="0" w:lastRowLastColumn="0"/>
          <w:tblHeader/>
        </w:trPr>
        <w:tc>
          <w:tcPr>
            <w:tcW w:w="1772" w:type="dxa"/>
          </w:tcPr>
          <w:p w14:paraId="7BE242BB" w14:textId="77777777" w:rsidR="005E7A17" w:rsidRDefault="00505045">
            <w:pPr>
              <w:pStyle w:val="Compact"/>
            </w:pPr>
            <w:r>
              <w:rPr>
                <w:b/>
                <w:bCs/>
              </w:rPr>
              <w:t>Stát</w:t>
            </w:r>
          </w:p>
        </w:tc>
        <w:tc>
          <w:tcPr>
            <w:tcW w:w="3649" w:type="dxa"/>
          </w:tcPr>
          <w:p w14:paraId="7BE242BC" w14:textId="77777777" w:rsidR="005E7A17" w:rsidRDefault="00505045">
            <w:pPr>
              <w:pStyle w:val="Compact"/>
            </w:pPr>
            <w:r>
              <w:rPr>
                <w:b/>
                <w:bCs/>
              </w:rPr>
              <w:t>Vnitřní zdroj (revoluce/mobilizace)</w:t>
            </w:r>
          </w:p>
        </w:tc>
        <w:tc>
          <w:tcPr>
            <w:tcW w:w="3649" w:type="dxa"/>
          </w:tcPr>
          <w:p w14:paraId="7BE242BD" w14:textId="77777777" w:rsidR="005E7A17" w:rsidRDefault="00505045">
            <w:pPr>
              <w:pStyle w:val="Compact"/>
            </w:pPr>
            <w:r>
              <w:rPr>
                <w:b/>
                <w:bCs/>
              </w:rPr>
              <w:t>Vnější zdroj (difuze)</w:t>
            </w:r>
          </w:p>
        </w:tc>
      </w:tr>
      <w:tr w:rsidR="005E7A17" w14:paraId="7BE242C2" w14:textId="77777777" w:rsidTr="005E7A17">
        <w:tc>
          <w:tcPr>
            <w:tcW w:w="1772" w:type="dxa"/>
          </w:tcPr>
          <w:p w14:paraId="7BE242BF" w14:textId="77777777" w:rsidR="005E7A17" w:rsidRDefault="00505045">
            <w:pPr>
              <w:pStyle w:val="Compact"/>
            </w:pPr>
            <w:r>
              <w:t>Polsko</w:t>
            </w:r>
          </w:p>
        </w:tc>
        <w:tc>
          <w:tcPr>
            <w:tcW w:w="3649" w:type="dxa"/>
          </w:tcPr>
          <w:p w14:paraId="7BE242C0" w14:textId="77777777" w:rsidR="005E7A17" w:rsidRDefault="00505045">
            <w:pPr>
              <w:pStyle w:val="Compact"/>
            </w:pPr>
            <w:r>
              <w:t>Solidarita, stávkové hnutí 1980–1989, kulatý stůl</w:t>
            </w:r>
          </w:p>
        </w:tc>
        <w:tc>
          <w:tcPr>
            <w:tcW w:w="3649" w:type="dxa"/>
          </w:tcPr>
          <w:p w14:paraId="7BE242C1" w14:textId="77777777" w:rsidR="005E7A17" w:rsidRDefault="00505045">
            <w:pPr>
              <w:pStyle w:val="Compact"/>
            </w:pPr>
            <w:r>
              <w:t>Podmíněnost vstupem do EU a NATO od 1999/2004</w:t>
            </w:r>
          </w:p>
        </w:tc>
      </w:tr>
      <w:tr w:rsidR="005E7A17" w14:paraId="7BE242C6" w14:textId="77777777" w:rsidTr="005E7A17">
        <w:tc>
          <w:tcPr>
            <w:tcW w:w="1772" w:type="dxa"/>
          </w:tcPr>
          <w:p w14:paraId="7BE242C3" w14:textId="77777777" w:rsidR="005E7A17" w:rsidRDefault="00505045">
            <w:pPr>
              <w:pStyle w:val="Compact"/>
            </w:pPr>
            <w:r>
              <w:t>Československo/ČR</w:t>
            </w:r>
          </w:p>
        </w:tc>
        <w:tc>
          <w:tcPr>
            <w:tcW w:w="3649" w:type="dxa"/>
          </w:tcPr>
          <w:p w14:paraId="7BE242C4" w14:textId="77777777" w:rsidR="005E7A17" w:rsidRDefault="00505045">
            <w:pPr>
              <w:pStyle w:val="Compact"/>
            </w:pPr>
            <w:r>
              <w:t>Sametová revoluce, Občanské fórum</w:t>
            </w:r>
          </w:p>
        </w:tc>
        <w:tc>
          <w:tcPr>
            <w:tcW w:w="3649" w:type="dxa"/>
          </w:tcPr>
          <w:p w14:paraId="7BE242C5" w14:textId="77777777" w:rsidR="005E7A17" w:rsidRDefault="00505045">
            <w:pPr>
              <w:pStyle w:val="Compact"/>
            </w:pPr>
            <w:r>
              <w:t>Podmíněnost vstupem do EU a NATO od 1999/2004</w:t>
            </w:r>
          </w:p>
        </w:tc>
      </w:tr>
      <w:tr w:rsidR="005E7A17" w14:paraId="7BE242CA" w14:textId="77777777" w:rsidTr="005E7A17">
        <w:tc>
          <w:tcPr>
            <w:tcW w:w="1772" w:type="dxa"/>
          </w:tcPr>
          <w:p w14:paraId="7BE242C7" w14:textId="77777777" w:rsidR="005E7A17" w:rsidRDefault="00505045">
            <w:pPr>
              <w:pStyle w:val="Compact"/>
            </w:pPr>
            <w:r>
              <w:t>Maďarsko</w:t>
            </w:r>
          </w:p>
        </w:tc>
        <w:tc>
          <w:tcPr>
            <w:tcW w:w="3649" w:type="dxa"/>
          </w:tcPr>
          <w:p w14:paraId="7BE242C8" w14:textId="77777777" w:rsidR="005E7A17" w:rsidRDefault="00505045">
            <w:pPr>
              <w:pStyle w:val="Compact"/>
            </w:pPr>
            <w:r>
              <w:t>Kulatý stůl 1989, slabší masová mobilizace než v Polsku</w:t>
            </w:r>
          </w:p>
        </w:tc>
        <w:tc>
          <w:tcPr>
            <w:tcW w:w="3649" w:type="dxa"/>
          </w:tcPr>
          <w:p w14:paraId="7BE242C9" w14:textId="77777777" w:rsidR="005E7A17" w:rsidRDefault="00505045">
            <w:pPr>
              <w:pStyle w:val="Compact"/>
            </w:pPr>
            <w:r>
              <w:t>Podmíněnost vstupem do EU a NATO od 1999/2004</w:t>
            </w:r>
          </w:p>
        </w:tc>
      </w:tr>
      <w:tr w:rsidR="005E7A17" w14:paraId="7BE242CE" w14:textId="77777777" w:rsidTr="005E7A17">
        <w:tc>
          <w:tcPr>
            <w:tcW w:w="1772" w:type="dxa"/>
          </w:tcPr>
          <w:p w14:paraId="7BE242CB" w14:textId="77777777" w:rsidR="005E7A17" w:rsidRDefault="00505045">
            <w:pPr>
              <w:pStyle w:val="Compact"/>
            </w:pPr>
            <w:r>
              <w:t>Východní Německo</w:t>
            </w:r>
          </w:p>
        </w:tc>
        <w:tc>
          <w:tcPr>
            <w:tcW w:w="3649" w:type="dxa"/>
          </w:tcPr>
          <w:p w14:paraId="7BE242CC" w14:textId="77777777" w:rsidR="005E7A17" w:rsidRDefault="00505045">
            <w:pPr>
              <w:pStyle w:val="Compact"/>
            </w:pPr>
            <w:r>
              <w:t>Pondělní demonstrace v Lipsku, pád Berlínské zdi</w:t>
            </w:r>
          </w:p>
        </w:tc>
        <w:tc>
          <w:tcPr>
            <w:tcW w:w="3649" w:type="dxa"/>
          </w:tcPr>
          <w:p w14:paraId="7BE242CD" w14:textId="77777777" w:rsidR="005E7A17" w:rsidRDefault="00505045">
            <w:pPr>
              <w:pStyle w:val="Compact"/>
            </w:pPr>
            <w:r>
              <w:t>Okamžité sloučení se západoněmeckým institucionálním rámcem</w:t>
            </w:r>
          </w:p>
        </w:tc>
      </w:tr>
    </w:tbl>
    <w:p w14:paraId="7BE242CF" w14:textId="77777777" w:rsidR="005E7A17" w:rsidRDefault="00505045">
      <w:pPr>
        <w:pStyle w:val="Zkladntext"/>
      </w:pPr>
      <w:r>
        <w:t>Je však třeba zdůraznit, že ani kombinace dvou zdrojů energie sama o sobě nezaručuje vysoký val, pokud oba zdroje působily jen krátce a bez navazující generační sedimentace.</w:t>
      </w:r>
    </w:p>
    <w:p w14:paraId="7BE242D0" w14:textId="77777777" w:rsidR="005E7A17" w:rsidRDefault="00505045">
      <w:pPr>
        <w:pStyle w:val="Nadpis2"/>
      </w:pPr>
      <w:bookmarkStart w:id="64" w:name="X400b93c36d8702664eb580d2a0f376749fef6a1"/>
      <w:bookmarkEnd w:id="63"/>
      <w:r>
        <w:t>11.5 Souhrn: tři zdroje, jejich vlastnosti a jejich součet</w:t>
      </w:r>
    </w:p>
    <w:tbl>
      <w:tblPr>
        <w:tblStyle w:val="Table"/>
        <w:tblW w:w="9072" w:type="dxa"/>
        <w:tblLayout w:type="fixed"/>
        <w:tblLook w:val="0020" w:firstRow="1" w:lastRow="0" w:firstColumn="0" w:lastColumn="0" w:noHBand="0" w:noVBand="0"/>
      </w:tblPr>
      <w:tblGrid>
        <w:gridCol w:w="2118"/>
        <w:gridCol w:w="2318"/>
        <w:gridCol w:w="2318"/>
        <w:gridCol w:w="2318"/>
      </w:tblGrid>
      <w:tr w:rsidR="005E7A17" w14:paraId="7BE242D5" w14:textId="77777777" w:rsidTr="005E7A17">
        <w:trPr>
          <w:cnfStyle w:val="100000000000" w:firstRow="1" w:lastRow="0" w:firstColumn="0" w:lastColumn="0" w:oddVBand="0" w:evenVBand="0" w:oddHBand="0" w:evenHBand="0" w:firstRowFirstColumn="0" w:firstRowLastColumn="0" w:lastRowFirstColumn="0" w:lastRowLastColumn="0"/>
          <w:tblHeader/>
        </w:trPr>
        <w:tc>
          <w:tcPr>
            <w:tcW w:w="2119" w:type="dxa"/>
          </w:tcPr>
          <w:p w14:paraId="7BE242D1" w14:textId="77777777" w:rsidR="005E7A17" w:rsidRDefault="00505045">
            <w:pPr>
              <w:pStyle w:val="Compact"/>
            </w:pPr>
            <w:r>
              <w:rPr>
                <w:b/>
                <w:bCs/>
              </w:rPr>
              <w:t>Zdroj energie</w:t>
            </w:r>
          </w:p>
        </w:tc>
        <w:tc>
          <w:tcPr>
            <w:tcW w:w="2317" w:type="dxa"/>
          </w:tcPr>
          <w:p w14:paraId="7BE242D2" w14:textId="77777777" w:rsidR="005E7A17" w:rsidRDefault="00505045">
            <w:pPr>
              <w:pStyle w:val="Compact"/>
            </w:pPr>
            <w:r>
              <w:rPr>
                <w:b/>
                <w:bCs/>
              </w:rPr>
              <w:t>Mechanismus</w:t>
            </w:r>
          </w:p>
        </w:tc>
        <w:tc>
          <w:tcPr>
            <w:tcW w:w="2317" w:type="dxa"/>
          </w:tcPr>
          <w:p w14:paraId="7BE242D3" w14:textId="77777777" w:rsidR="005E7A17" w:rsidRDefault="00505045">
            <w:pPr>
              <w:pStyle w:val="Compact"/>
            </w:pPr>
            <w:r>
              <w:rPr>
                <w:b/>
                <w:bCs/>
              </w:rPr>
              <w:t>Historický příklad</w:t>
            </w:r>
          </w:p>
        </w:tc>
        <w:tc>
          <w:tcPr>
            <w:tcW w:w="2317" w:type="dxa"/>
          </w:tcPr>
          <w:p w14:paraId="7BE242D4" w14:textId="77777777" w:rsidR="005E7A17" w:rsidRDefault="00505045">
            <w:pPr>
              <w:pStyle w:val="Compact"/>
            </w:pPr>
            <w:r>
              <w:rPr>
                <w:b/>
                <w:bCs/>
              </w:rPr>
              <w:t>Autor/zdroj</w:t>
            </w:r>
          </w:p>
        </w:tc>
      </w:tr>
      <w:tr w:rsidR="005E7A17" w14:paraId="7BE242DA" w14:textId="77777777" w:rsidTr="005E7A17">
        <w:tc>
          <w:tcPr>
            <w:tcW w:w="2119" w:type="dxa"/>
          </w:tcPr>
          <w:p w14:paraId="7BE242D6" w14:textId="77777777" w:rsidR="005E7A17" w:rsidRDefault="00505045">
            <w:pPr>
              <w:pStyle w:val="Compact"/>
            </w:pPr>
            <w:r>
              <w:t>Náboženská reformace</w:t>
            </w:r>
          </w:p>
        </w:tc>
        <w:tc>
          <w:tcPr>
            <w:tcW w:w="2317" w:type="dxa"/>
          </w:tcPr>
          <w:p w14:paraId="7BE242D7" w14:textId="77777777" w:rsidR="005E7A17" w:rsidRDefault="00505045">
            <w:pPr>
              <w:pStyle w:val="Compact"/>
            </w:pPr>
            <w:r>
              <w:t>Individualizace svědomí, vnitrosvětský asketismus, princip povolání</w:t>
            </w:r>
          </w:p>
        </w:tc>
        <w:tc>
          <w:tcPr>
            <w:tcW w:w="2317" w:type="dxa"/>
          </w:tcPr>
          <w:p w14:paraId="7BE242D8" w14:textId="77777777" w:rsidR="005E7A17" w:rsidRDefault="00505045">
            <w:pPr>
              <w:pStyle w:val="Compact"/>
            </w:pPr>
            <w:r>
              <w:t>Kalvinismus, puritánství, nizozemská a anglická reformace</w:t>
            </w:r>
          </w:p>
        </w:tc>
        <w:tc>
          <w:tcPr>
            <w:tcW w:w="2317" w:type="dxa"/>
          </w:tcPr>
          <w:p w14:paraId="7BE242D9" w14:textId="77777777" w:rsidR="005E7A17" w:rsidRDefault="00505045">
            <w:pPr>
              <w:pStyle w:val="Compact"/>
            </w:pPr>
            <w:r>
              <w:t>Weber (1904–05)</w:t>
            </w:r>
          </w:p>
        </w:tc>
      </w:tr>
      <w:tr w:rsidR="005E7A17" w14:paraId="7BE242DF" w14:textId="77777777" w:rsidTr="005E7A17">
        <w:tc>
          <w:tcPr>
            <w:tcW w:w="2119" w:type="dxa"/>
          </w:tcPr>
          <w:p w14:paraId="7BE242DB" w14:textId="77777777" w:rsidR="005E7A17" w:rsidRDefault="00505045">
            <w:pPr>
              <w:pStyle w:val="Compact"/>
            </w:pPr>
            <w:r>
              <w:t>Revoluce a kritické body</w:t>
            </w:r>
          </w:p>
        </w:tc>
        <w:tc>
          <w:tcPr>
            <w:tcW w:w="2317" w:type="dxa"/>
          </w:tcPr>
          <w:p w14:paraId="7BE242DC" w14:textId="77777777" w:rsidR="005E7A17" w:rsidRDefault="00505045">
            <w:pPr>
              <w:pStyle w:val="Compact"/>
            </w:pPr>
            <w:r>
              <w:t>Násilná nebo institucionální ruptura mocenské rovnováhy vytvářející prostor pro pluralitu</w:t>
            </w:r>
          </w:p>
        </w:tc>
        <w:tc>
          <w:tcPr>
            <w:tcW w:w="2317" w:type="dxa"/>
          </w:tcPr>
          <w:p w14:paraId="7BE242DD" w14:textId="77777777" w:rsidR="005E7A17" w:rsidRDefault="00505045">
            <w:pPr>
              <w:pStyle w:val="Compact"/>
            </w:pPr>
            <w:r>
              <w:t>Glorious Revolution 1688, francouzská revoluce 1789, anglická občanská válka</w:t>
            </w:r>
          </w:p>
        </w:tc>
        <w:tc>
          <w:tcPr>
            <w:tcW w:w="2317" w:type="dxa"/>
          </w:tcPr>
          <w:p w14:paraId="7BE242DE" w14:textId="77777777" w:rsidR="005E7A17" w:rsidRDefault="00505045">
            <w:pPr>
              <w:pStyle w:val="Compact"/>
            </w:pPr>
            <w:r>
              <w:t>Moore (1966); Acemoglu a Robinson (2012)</w:t>
            </w:r>
          </w:p>
        </w:tc>
      </w:tr>
      <w:tr w:rsidR="005E7A17" w14:paraId="7BE242E4" w14:textId="77777777" w:rsidTr="005E7A17">
        <w:tc>
          <w:tcPr>
            <w:tcW w:w="2119" w:type="dxa"/>
          </w:tcPr>
          <w:p w14:paraId="7BE242E0" w14:textId="77777777" w:rsidR="005E7A17" w:rsidRDefault="00505045">
            <w:pPr>
              <w:pStyle w:val="Compact"/>
            </w:pPr>
            <w:r>
              <w:t xml:space="preserve">Buržoazní třída a </w:t>
            </w:r>
            <w:r>
              <w:lastRenderedPageBreak/>
              <w:t>tržní koalice</w:t>
            </w:r>
          </w:p>
        </w:tc>
        <w:tc>
          <w:tcPr>
            <w:tcW w:w="2317" w:type="dxa"/>
          </w:tcPr>
          <w:p w14:paraId="7BE242E1" w14:textId="77777777" w:rsidR="005E7A17" w:rsidRDefault="00505045">
            <w:pPr>
              <w:pStyle w:val="Compact"/>
            </w:pPr>
            <w:r>
              <w:lastRenderedPageBreak/>
              <w:t xml:space="preserve">Vznik autonomní </w:t>
            </w:r>
            <w:r>
              <w:lastRenderedPageBreak/>
              <w:t>ekonomické třídy nezávislé na pozemkové aristokracii</w:t>
            </w:r>
          </w:p>
        </w:tc>
        <w:tc>
          <w:tcPr>
            <w:tcW w:w="2317" w:type="dxa"/>
          </w:tcPr>
          <w:p w14:paraId="7BE242E2" w14:textId="77777777" w:rsidR="005E7A17" w:rsidRDefault="00505045">
            <w:pPr>
              <w:pStyle w:val="Compact"/>
            </w:pPr>
            <w:r>
              <w:lastRenderedPageBreak/>
              <w:t xml:space="preserve">Anglické a </w:t>
            </w:r>
            <w:r>
              <w:lastRenderedPageBreak/>
              <w:t>nizozemské obchodní elity 17. století</w:t>
            </w:r>
          </w:p>
        </w:tc>
        <w:tc>
          <w:tcPr>
            <w:tcW w:w="2317" w:type="dxa"/>
          </w:tcPr>
          <w:p w14:paraId="7BE242E3" w14:textId="77777777" w:rsidR="005E7A17" w:rsidRDefault="00505045">
            <w:pPr>
              <w:pStyle w:val="Compact"/>
            </w:pPr>
            <w:r>
              <w:lastRenderedPageBreak/>
              <w:t>Moore (1966)</w:t>
            </w:r>
          </w:p>
        </w:tc>
      </w:tr>
      <w:tr w:rsidR="005E7A17" w14:paraId="7BE242E9" w14:textId="77777777" w:rsidTr="005E7A17">
        <w:tc>
          <w:tcPr>
            <w:tcW w:w="2119" w:type="dxa"/>
          </w:tcPr>
          <w:p w14:paraId="7BE242E5" w14:textId="77777777" w:rsidR="005E7A17" w:rsidRDefault="00505045">
            <w:pPr>
              <w:pStyle w:val="Compact"/>
            </w:pPr>
            <w:r>
              <w:t>Mezinárodní difuze a podmíněnost</w:t>
            </w:r>
          </w:p>
        </w:tc>
        <w:tc>
          <w:tcPr>
            <w:tcW w:w="2317" w:type="dxa"/>
          </w:tcPr>
          <w:p w14:paraId="7BE242E6" w14:textId="77777777" w:rsidR="005E7A17" w:rsidRDefault="00505045">
            <w:pPr>
              <w:pStyle w:val="Compact"/>
            </w:pPr>
            <w:r>
              <w:t>Vnější tlak a nápodoba přes členství v mezinárodních institucích</w:t>
            </w:r>
          </w:p>
        </w:tc>
        <w:tc>
          <w:tcPr>
            <w:tcW w:w="2317" w:type="dxa"/>
          </w:tcPr>
          <w:p w14:paraId="7BE242E7" w14:textId="77777777" w:rsidR="005E7A17" w:rsidRDefault="00505045">
            <w:pPr>
              <w:pStyle w:val="Compact"/>
            </w:pPr>
            <w:r>
              <w:t>Jižní Evropa a EU integrace, 1975–1986</w:t>
            </w:r>
          </w:p>
        </w:tc>
        <w:tc>
          <w:tcPr>
            <w:tcW w:w="2317" w:type="dxa"/>
          </w:tcPr>
          <w:p w14:paraId="7BE242E8" w14:textId="77777777" w:rsidR="005E7A17" w:rsidRDefault="00505045">
            <w:pPr>
              <w:pStyle w:val="Compact"/>
            </w:pPr>
            <w:r>
              <w:t>Huntington (1991)</w:t>
            </w:r>
          </w:p>
        </w:tc>
      </w:tr>
    </w:tbl>
    <w:p w14:paraId="7BE242EA" w14:textId="77777777" w:rsidR="005E7A17" w:rsidRDefault="00505045">
      <w:pPr>
        <w:pStyle w:val="Nadpis1"/>
      </w:pPr>
      <w:bookmarkStart w:id="65" w:name="testovatelné-hypotézy-modelu-l-e-f"/>
      <w:bookmarkEnd w:id="59"/>
      <w:bookmarkEnd w:id="64"/>
      <w:r>
        <w:t>12. Testovatelné hypotézy modelu L-E-F</w:t>
      </w:r>
    </w:p>
    <w:p w14:paraId="7BE242EB" w14:textId="77777777" w:rsidR="005E7A17" w:rsidRDefault="00505045">
      <w:pPr>
        <w:pStyle w:val="FirstParagraph"/>
      </w:pPr>
      <w:r>
        <w:t>Model L-E-F je teoretický rámec, ale jeho hodnota stojí a padá s tím, zda z něj plynou tvrzení, která mohou být daty vyvrácena. Tato kapitola shromažďuje všechna taková tvrzení na jedno místo. Pro každou hypotézu uvádí, z které části výkladu plyne, jak ji lze operacionalizovat, co by ji vyvrátilo a jaký je její současný stav. Formální aparát pro výpočet použitých veličin je v dokumentu „Matematika a geometrie”, data a provedené testy v dokumentu „Metodologie, databáze a empirické ověření”.</w:t>
      </w:r>
    </w:p>
    <w:p w14:paraId="7BE242EC" w14:textId="77777777" w:rsidR="005E7A17" w:rsidRDefault="00505045">
      <w:pPr>
        <w:pStyle w:val="Nadpis2"/>
      </w:pPr>
      <w:bookmarkStart w:id="66" w:name="co-je-a-co-není-testovatelné"/>
      <w:r>
        <w:t>12.1 Co je a co není testovatelné</w:t>
      </w:r>
    </w:p>
    <w:p w14:paraId="7BE242ED" w14:textId="77777777" w:rsidR="005E7A17" w:rsidRDefault="00505045">
      <w:pPr>
        <w:pStyle w:val="FirstParagraph"/>
      </w:pPr>
      <w:r>
        <w:t>Model obsahuje tři druhy tvrzení, které je nutné odlišovat.</w:t>
      </w:r>
    </w:p>
    <w:p w14:paraId="7BE242EE" w14:textId="77777777" w:rsidR="005E7A17" w:rsidRDefault="00505045">
      <w:pPr>
        <w:pStyle w:val="Zkladntext"/>
      </w:pPr>
      <w:r>
        <w:rPr>
          <w:b/>
          <w:bCs/>
        </w:rPr>
        <w:t>Předpoklady</w:t>
      </w:r>
      <w:r>
        <w:t xml:space="preserve"> </w:t>
      </w:r>
      <w:r>
        <w:t>nejsou testovatelné dostupnými daty a model je přijímá jako východisko. Patří sem tvrzení, že tři dimenze jsou antropologické konstanty přítomné v každé dostatečně složité společnosti (kapitola 4.1), protože dostupná data pokrývají výhradně moderní stranické demokracie. Patří sem i volba pojetí svobody: ukotvení osy L v Pettitově nedominanci a Dahlově soutěživosti (kapitola 3.4) je konceptuální rozhodnutí, ne empirické zjištění. Vyvrátit lze jen jeho důsledky, ne jeho samotné.</w:t>
      </w:r>
    </w:p>
    <w:p w14:paraId="7BE242EF" w14:textId="77777777" w:rsidR="005E7A17" w:rsidRDefault="00505045">
      <w:pPr>
        <w:pStyle w:val="Zkladntext"/>
      </w:pPr>
      <w:r>
        <w:rPr>
          <w:b/>
          <w:bCs/>
        </w:rPr>
        <w:t>Definiční tvrzení</w:t>
      </w:r>
      <w:r>
        <w:t xml:space="preserve"> </w:t>
      </w:r>
      <w:r>
        <w:t>platí z konstrukce a nelze je testovat, jen ověřit správnost výpočtu. Patří sem například skutečnost, že součet saliencí tří os dává 100 %, nebo že součet jejich změn mezi dvěma volbami je nula.</w:t>
      </w:r>
    </w:p>
    <w:p w14:paraId="7BE242F0" w14:textId="77777777" w:rsidR="005E7A17" w:rsidRDefault="00505045">
      <w:pPr>
        <w:pStyle w:val="Zkladntext"/>
      </w:pPr>
      <w:r>
        <w:rPr>
          <w:b/>
          <w:bCs/>
        </w:rPr>
        <w:t>Hypotézy</w:t>
      </w:r>
      <w:r>
        <w:t xml:space="preserve"> jsou tvrzení o světě, která mohou být daty vyvrácena. Následující přehled je uvádí v podobě, v níž je lze testovat.</w:t>
      </w:r>
    </w:p>
    <w:p w14:paraId="7BE242F1" w14:textId="77777777" w:rsidR="005E7A17" w:rsidRDefault="00505045">
      <w:pPr>
        <w:pStyle w:val="Nadpis2"/>
      </w:pPr>
      <w:bookmarkStart w:id="67" w:name="hypotézy-o-struktuře-prostoru"/>
      <w:bookmarkEnd w:id="66"/>
      <w:r>
        <w:t>12.2 Hypotézy o struktuře prostoru</w:t>
      </w:r>
    </w:p>
    <w:p w14:paraId="7BE242F2" w14:textId="77777777" w:rsidR="005E7A17" w:rsidRDefault="00505045">
      <w:pPr>
        <w:pStyle w:val="FirstParagraph"/>
      </w:pPr>
      <w:r>
        <w:rPr>
          <w:b/>
          <w:bCs/>
        </w:rPr>
        <w:t>H1 Tři dimenze jsou empiricky rozlišitelné.</w:t>
      </w:r>
      <w:r>
        <w:t xml:space="preserve"> Osy L, E a F nelze redukovat na méně než tři dimenze; jejich vzájemná korelace je slabá. </w:t>
      </w:r>
      <w:r>
        <w:rPr>
          <w:i/>
          <w:iCs/>
        </w:rPr>
        <w:t>Plyne z:</w:t>
      </w:r>
      <w:r>
        <w:t xml:space="preserve"> </w:t>
      </w:r>
      <w:r>
        <w:t xml:space="preserve">kapitol 4 a 6.5. </w:t>
      </w:r>
      <w:r>
        <w:rPr>
          <w:i/>
          <w:iCs/>
        </w:rPr>
        <w:t>Operacionalizace:</w:t>
      </w:r>
      <w:r>
        <w:t xml:space="preserve"> korelační a faktorová analýza položek u zdroje bez apriorního teoretického rámce (MARPOR), doplněná o konfirmační faktorovou analýzu srovnávající modely s jedním, dvěma a třemi faktory. </w:t>
      </w:r>
      <w:r>
        <w:rPr>
          <w:i/>
          <w:iCs/>
        </w:rPr>
        <w:t>Vyvrátí ji:</w:t>
      </w:r>
      <w:r>
        <w:t xml:space="preserve"> silná korelace (sdílený rozptyl nad 25 %) mezi kteroukoli dvojicí os na zdroji bez apriorního rámce, nebo lepší shoda dvoufaktorového modelu. </w:t>
      </w:r>
      <w:r>
        <w:rPr>
          <w:i/>
          <w:iCs/>
        </w:rPr>
        <w:t>Stav:</w:t>
      </w:r>
      <w:r>
        <w:t xml:space="preserve"> </w:t>
      </w:r>
      <w:r>
        <w:t>předběžně potvrzeno na MARPOR (dokument C, Test 14.1); na CHES je korelace L-F silná, což model vykládá jako artefakt provázanosti položek CHES se škálou GAL-TAN. Právě toto vysvětlení je nutné otestovat konfirmační faktorovou analýzou.</w:t>
      </w:r>
    </w:p>
    <w:p w14:paraId="7BE242F3" w14:textId="77777777" w:rsidR="005E7A17" w:rsidRDefault="00505045">
      <w:pPr>
        <w:pStyle w:val="Zkladntext"/>
      </w:pPr>
      <w:r>
        <w:rPr>
          <w:b/>
          <w:bCs/>
        </w:rPr>
        <w:lastRenderedPageBreak/>
        <w:t>H2 Přímá demokracie proti institucím patří k pólu L−.</w:t>
      </w:r>
      <w:r>
        <w:t xml:space="preserve"> Strany, které staví nezprostředkovanou „vůli lidu” proti soudům, opozici a médiím, oslabují soutěživost systému, i když se prezentují jako posílení participace. </w:t>
      </w:r>
      <w:r>
        <w:rPr>
          <w:i/>
          <w:iCs/>
        </w:rPr>
        <w:t>Plyne z:</w:t>
      </w:r>
      <w:r>
        <w:t xml:space="preserve"> kapitoly 3.4 a 6.2. </w:t>
      </w:r>
      <w:r>
        <w:rPr>
          <w:i/>
          <w:iCs/>
        </w:rPr>
        <w:t>Operacionalizace:</w:t>
      </w:r>
      <w:r>
        <w:t xml:space="preserve"> </w:t>
      </w:r>
      <w:r>
        <w:t xml:space="preserve">porovnání pozice strany na ose L s nezávislými ukazateli jejího vztahu k institucím (V-Party: ochrana menšin a plurality, illiberalismus; V-Dem po vstupu strany do vlády). </w:t>
      </w:r>
      <w:r>
        <w:rPr>
          <w:i/>
          <w:iCs/>
        </w:rPr>
        <w:t>Vyvrátí ji:</w:t>
      </w:r>
      <w:r>
        <w:t xml:space="preserve"> systematické zjištění, že strany s vysokou podporou přímé demokracie zároveň posilují nezávislost soudů, opozice a médií, jsou-li u moci.</w:t>
      </w:r>
    </w:p>
    <w:p w14:paraId="7BE242F4" w14:textId="77777777" w:rsidR="005E7A17" w:rsidRDefault="00505045">
      <w:pPr>
        <w:pStyle w:val="Zkladntext"/>
      </w:pPr>
      <w:r>
        <w:rPr>
          <w:b/>
          <w:bCs/>
        </w:rPr>
        <w:t>H3 V demokraciích převažuje pól L+.</w:t>
      </w:r>
      <w:r>
        <w:t xml:space="preserve"> Hmota osy L je v demokratických systémech výrazněji na liberálním pólu, kdežto na osách E a F je rozdělení mezi póly zhruba vyrovnané. </w:t>
      </w:r>
      <w:r>
        <w:rPr>
          <w:i/>
          <w:iCs/>
        </w:rPr>
        <w:t>Plyne z:</w:t>
      </w:r>
      <w:r>
        <w:t xml:space="preserve"> </w:t>
      </w:r>
      <w:r>
        <w:t xml:space="preserve">kapitoly 6 a 8.4. </w:t>
      </w:r>
      <w:r>
        <w:rPr>
          <w:i/>
          <w:iCs/>
        </w:rPr>
        <w:t>Operacionalizace:</w:t>
      </w:r>
      <w:r>
        <w:t xml:space="preserve"> podíl hlasů připadajících na kladný a záporný pól každé osy. </w:t>
      </w:r>
      <w:r>
        <w:rPr>
          <w:i/>
          <w:iCs/>
        </w:rPr>
        <w:t>Vyvrátí ji:</w:t>
      </w:r>
      <w:r>
        <w:t xml:space="preserve"> vyrovnané nebo obrácené rozdělení na ose L, případně stejně silné vychýlení na osách E a F. </w:t>
      </w:r>
      <w:r>
        <w:rPr>
          <w:i/>
          <w:iCs/>
        </w:rPr>
        <w:t>Stav:</w:t>
      </w:r>
      <w:r>
        <w:t xml:space="preserve"> předběžně potvrzeno (dokument C, Test 14.4: poměr 2,47 : 1 na ose L proti 1,28 : 1 a 1,21 : 1). Slabinou testu je výběr zemí: vzorek tvoří konsolidované demokracie, takže výsledek je třeba zopakovat na vzorku zahrnujícím epizody autokratizace.</w:t>
      </w:r>
    </w:p>
    <w:p w14:paraId="7BE242F5" w14:textId="77777777" w:rsidR="005E7A17" w:rsidRDefault="00505045">
      <w:pPr>
        <w:pStyle w:val="Zkladntext"/>
      </w:pPr>
      <w:r>
        <w:rPr>
          <w:b/>
          <w:bCs/>
        </w:rPr>
        <w:t>H4 Konfigurace L+E+F− a L−E−F+ jsou empiricky vzácné.</w:t>
      </w:r>
      <w:r>
        <w:t xml:space="preserve"> </w:t>
      </w:r>
      <w:r>
        <w:t xml:space="preserve">Strany, které jsou zároveň liberální, levicové a kulturně uzavřené (nebo zrcadlově autoritativní, pravicové a kulturně otevřené), se v reálných stranických systémech téměř nevyskytují. </w:t>
      </w:r>
      <w:r>
        <w:rPr>
          <w:i/>
          <w:iCs/>
        </w:rPr>
        <w:t>Plyne z:</w:t>
      </w:r>
      <w:r>
        <w:t xml:space="preserve"> kapitoly 6.5 a 7.2. </w:t>
      </w:r>
      <w:r>
        <w:rPr>
          <w:i/>
          <w:iCs/>
        </w:rPr>
        <w:t>Operacionalizace:</w:t>
      </w:r>
      <w:r>
        <w:t xml:space="preserve"> četnosti konfigurací srovnané s očekávanými četnostmi při pozorované korelační struktuře (simulace nebo permutační test). </w:t>
      </w:r>
      <w:r>
        <w:rPr>
          <w:i/>
          <w:iCs/>
        </w:rPr>
        <w:t>Vyvrátí ji:</w:t>
      </w:r>
      <w:r>
        <w:t xml:space="preserve"> jejich běžný výskyt, nebo zjištění, že se neliší od očekávání. </w:t>
      </w:r>
      <w:r>
        <w:rPr>
          <w:i/>
          <w:iCs/>
        </w:rPr>
        <w:t>Stav:</w:t>
      </w:r>
      <w:r>
        <w:t xml:space="preserve"> </w:t>
      </w:r>
      <w:r>
        <w:t>předběžně potvrzeno (dokument C, Test 14.3), zatím však bez srovnání s nulovým modelem.</w:t>
      </w:r>
    </w:p>
    <w:p w14:paraId="1391B09C" w14:textId="77777777" w:rsidR="000C5C6B" w:rsidRPr="002B0C2D" w:rsidRDefault="000C5C6B" w:rsidP="000C5C6B">
      <w:pPr>
        <w:pStyle w:val="Zkladntext"/>
      </w:pPr>
      <w:r w:rsidRPr="002B0C2D">
        <w:rPr>
          <w:b/>
          <w:bCs/>
        </w:rPr>
        <w:t>H20 Hyperproceduralismus jako limita.</w:t>
      </w:r>
      <w:r w:rsidRPr="002B0C2D">
        <w:t xml:space="preserve"> V pozorovaných stranických systémech se salience osy L nepřibližuje stavu, v němž by substantivní osy ztratily váhu. </w:t>
      </w:r>
      <w:r w:rsidRPr="002B0C2D">
        <w:rPr>
          <w:i/>
          <w:iCs/>
        </w:rPr>
        <w:t>Plyne z:</w:t>
      </w:r>
      <w:r w:rsidRPr="002B0C2D">
        <w:t xml:space="preserve"> 3.5.4. </w:t>
      </w:r>
      <w:r w:rsidRPr="002B0C2D">
        <w:rPr>
          <w:i/>
          <w:iCs/>
        </w:rPr>
        <w:t>Operacionalizace:</w:t>
      </w:r>
      <w:r w:rsidRPr="002B0C2D">
        <w:t xml:space="preserve"> rozdělení salience osy L napříč všemi volbami v databázi. </w:t>
      </w:r>
      <w:r w:rsidRPr="002B0C2D">
        <w:rPr>
          <w:i/>
          <w:iCs/>
        </w:rPr>
        <w:t>Vyvrátí ji:</w:t>
      </w:r>
      <w:r w:rsidRPr="002B0C2D">
        <w:t xml:space="preserve"> volba se saliencí osy L nad 60 % a se součtem saliencí os E a F pod 40 %. </w:t>
      </w:r>
      <w:r w:rsidRPr="002B0C2D">
        <w:rPr>
          <w:i/>
          <w:iCs/>
        </w:rPr>
        <w:t>Stav:</w:t>
      </w:r>
      <w:r w:rsidRPr="002B0C2D">
        <w:t xml:space="preserve"> netestováno; na českých datech je salience osy L 27 % (2025) a 31 % (2021).</w:t>
      </w:r>
    </w:p>
    <w:p w14:paraId="6193D3AB" w14:textId="573113F5" w:rsidR="000C5C6B" w:rsidRDefault="000C5C6B" w:rsidP="000C5C6B">
      <w:pPr>
        <w:pStyle w:val="Zkladntext"/>
      </w:pPr>
      <w:r w:rsidRPr="002B0C2D">
        <w:rPr>
          <w:b/>
          <w:bCs/>
        </w:rPr>
        <w:t>H21 Asymetrie pólů osy L.</w:t>
      </w:r>
      <w:r w:rsidRPr="002B0C2D">
        <w:t xml:space="preserve"> Neexistuje společnost, která dlouhodobě spojuje vysokou hodnotu μ_L s vysokou hodnotou autoritativního prahu A; naopak nízké hodnoty μ_L se vyskytují při všech hodnotách A. </w:t>
      </w:r>
      <w:r w:rsidRPr="002B0C2D">
        <w:rPr>
          <w:i/>
          <w:iCs/>
        </w:rPr>
        <w:t>Plyne z:</w:t>
      </w:r>
      <w:r w:rsidRPr="002B0C2D">
        <w:t xml:space="preserve"> 3.5.2 a 3.5.4. </w:t>
      </w:r>
      <w:r w:rsidRPr="002B0C2D">
        <w:rPr>
          <w:i/>
          <w:iCs/>
        </w:rPr>
        <w:t>Operacionalizace:</w:t>
      </w:r>
      <w:r w:rsidRPr="002B0C2D">
        <w:t xml:space="preserve"> rozptylový graf μ_L proti A pro všechny volby v databázi a test prázdnosti horního pravého kvadrantu proti nulovému modelu. </w:t>
      </w:r>
      <w:r w:rsidRPr="002B0C2D">
        <w:rPr>
          <w:i/>
          <w:iCs/>
        </w:rPr>
        <w:t>Vyvrátí ji:</w:t>
      </w:r>
      <w:r w:rsidRPr="002B0C2D">
        <w:t xml:space="preserve"> trvalý výskyt společností s vysokým μ_L i vysokým A. </w:t>
      </w:r>
      <w:r w:rsidRPr="002B0C2D">
        <w:rPr>
          <w:i/>
          <w:iCs/>
        </w:rPr>
        <w:t>Stav:</w:t>
      </w:r>
      <w:r w:rsidRPr="002B0C2D">
        <w:t xml:space="preserve"> netestováno; silně polarizované liberální demokracie posledních let jsou pro tento test klíčovým případem.</w:t>
      </w:r>
    </w:p>
    <w:p w14:paraId="7BE242F6" w14:textId="77777777" w:rsidR="005E7A17" w:rsidRDefault="00505045">
      <w:pPr>
        <w:pStyle w:val="Nadpis2"/>
      </w:pPr>
      <w:bookmarkStart w:id="68" w:name="hypotézy-o-vztahu-stran-a-voličů"/>
      <w:bookmarkEnd w:id="67"/>
      <w:r>
        <w:t>12.3 Hypotézy o vztahu stran a voličů</w:t>
      </w:r>
    </w:p>
    <w:p w14:paraId="7BE242F7" w14:textId="77777777" w:rsidR="005E7A17" w:rsidRDefault="00505045">
      <w:pPr>
        <w:pStyle w:val="FirstParagraph"/>
      </w:pPr>
      <w:r>
        <w:rPr>
          <w:b/>
          <w:bCs/>
        </w:rPr>
        <w:t>H5 Strany jsou spíše ve vleku voličů než jejich autory.</w:t>
      </w:r>
      <w:r>
        <w:t xml:space="preserve"> Hodnotové proudy jsou stabilnější než strany; nové strany obsazují existující proud, místo aby vytvářely nový. </w:t>
      </w:r>
      <w:r>
        <w:rPr>
          <w:i/>
          <w:iCs/>
        </w:rPr>
        <w:t>Plyne z:</w:t>
      </w:r>
      <w:r>
        <w:t xml:space="preserve"> kapitol 8.2 a 9.1. </w:t>
      </w:r>
      <w:r>
        <w:rPr>
          <w:i/>
          <w:iCs/>
        </w:rPr>
        <w:t>Operacionalizace:</w:t>
      </w:r>
      <w:r>
        <w:t xml:space="preserve"> srovnání časových řad postojů voličů (ESS, WVS/EVS, CSES) s pozicemi stran (CHES, MARPOR); test, zda posun voličů předchází posunu stran, nebo naopak. </w:t>
      </w:r>
      <w:r>
        <w:rPr>
          <w:i/>
          <w:iCs/>
        </w:rPr>
        <w:t>Vyvrátí ji:</w:t>
      </w:r>
      <w:r>
        <w:t xml:space="preserve"> </w:t>
      </w:r>
      <w:r>
        <w:t>systematické zjištění, že posuny stran předcházejí posunům voličů a že vznik nové strany mění rozložení postojů, ne naopak.</w:t>
      </w:r>
    </w:p>
    <w:p w14:paraId="7BE242F8" w14:textId="77777777" w:rsidR="005E7A17" w:rsidRDefault="00505045">
      <w:pPr>
        <w:pStyle w:val="Zkladntext"/>
      </w:pPr>
      <w:r>
        <w:rPr>
          <w:b/>
          <w:bCs/>
        </w:rPr>
        <w:t>H6 Jádro elektorátu se liší od polohy strany.</w:t>
      </w:r>
      <w:r>
        <w:t xml:space="preserve"> Místo největší hustoty voličů strany zpravidla neleží v poloze jejího vedení a programu; u vyhraněných stran leží blíže středu prostoru. </w:t>
      </w:r>
      <w:r>
        <w:rPr>
          <w:i/>
          <w:iCs/>
        </w:rPr>
        <w:t>Plyne z:</w:t>
      </w:r>
      <w:r>
        <w:t xml:space="preserve"> kapitoly 8.2 a z pojetí strany jako globule (dokument B, kapitola 4). </w:t>
      </w:r>
      <w:r>
        <w:rPr>
          <w:i/>
          <w:iCs/>
        </w:rPr>
        <w:t>Operacionalizace:</w:t>
      </w:r>
      <w:r>
        <w:t xml:space="preserve"> výpočet těžiště postojů voličů jednotlivých stran z výzkumů voličů a jeho porovnání s pozicí strany. </w:t>
      </w:r>
      <w:r>
        <w:rPr>
          <w:i/>
          <w:iCs/>
        </w:rPr>
        <w:t>Vyvrátí ji:</w:t>
      </w:r>
      <w:r>
        <w:t xml:space="preserve"> shoda obou poloh, nebo systematický posun opačným směrem (jádro elektorátu vyhraněnější než strana).</w:t>
      </w:r>
    </w:p>
    <w:p w14:paraId="7BE242F9" w14:textId="77777777" w:rsidR="005E7A17" w:rsidRDefault="00505045">
      <w:pPr>
        <w:pStyle w:val="Zkladntext"/>
      </w:pPr>
      <w:r>
        <w:rPr>
          <w:b/>
          <w:bCs/>
        </w:rPr>
        <w:lastRenderedPageBreak/>
        <w:t>H7 Strany se přibližují svým voličům častěji než voliči stranám.</w:t>
      </w:r>
      <w:r>
        <w:t xml:space="preserve"> Mezi volbami se zmenšuje rozdíl mezi polohou strany a jádrem jejího elektorátu, a to převážně pohybem strany. </w:t>
      </w:r>
      <w:r>
        <w:rPr>
          <w:i/>
          <w:iCs/>
        </w:rPr>
        <w:t>Plyne z:</w:t>
      </w:r>
      <w:r>
        <w:t xml:space="preserve"> kapitoly 8.2. </w:t>
      </w:r>
      <w:r>
        <w:rPr>
          <w:i/>
          <w:iCs/>
        </w:rPr>
        <w:t>Operacionalizace:</w:t>
      </w:r>
      <w:r>
        <w:t xml:space="preserve"> panelový model změny polohy strany a změny postojů jejích voličů mezi dvěma volbami; odhad obou rychlostí zvlášť. </w:t>
      </w:r>
      <w:r>
        <w:rPr>
          <w:i/>
          <w:iCs/>
        </w:rPr>
        <w:t>Vyvrátí ji:</w:t>
      </w:r>
      <w:r>
        <w:t xml:space="preserve"> </w:t>
      </w:r>
      <w:r>
        <w:t>převaha opačného směru (voliči se posouvají k straně), nebo stabilní rozdíl, který se v čase nezmenšuje.</w:t>
      </w:r>
    </w:p>
    <w:p w14:paraId="7BE242FA" w14:textId="77777777" w:rsidR="005E7A17" w:rsidRDefault="00505045">
      <w:pPr>
        <w:pStyle w:val="Zkladntext"/>
      </w:pPr>
      <w:r>
        <w:rPr>
          <w:b/>
          <w:bCs/>
        </w:rPr>
        <w:t>H8 Generační horizont hodnotové změny.</w:t>
      </w:r>
      <w:r>
        <w:t xml:space="preserve"> Podstatné změny salience a polarity mají horizont dvou generací, ne volebních cyklů. </w:t>
      </w:r>
      <w:r>
        <w:rPr>
          <w:i/>
          <w:iCs/>
        </w:rPr>
        <w:t>Plyne z:</w:t>
      </w:r>
      <w:r>
        <w:t xml:space="preserve"> kapitoly 4.3. </w:t>
      </w:r>
      <w:r>
        <w:rPr>
          <w:i/>
          <w:iCs/>
        </w:rPr>
        <w:t>Operacionalizace:</w:t>
      </w:r>
      <w:r>
        <w:t xml:space="preserve"> rozklad variance časových řad salience a polarity podle délky cyklu; kohortní analýza postojů. </w:t>
      </w:r>
      <w:r>
        <w:rPr>
          <w:i/>
          <w:iCs/>
        </w:rPr>
        <w:t>Vyvrátí ji:</w:t>
      </w:r>
      <w:r>
        <w:t xml:space="preserve"> zjištění, že převážná část variance leží na frekvenci volebního cyklu.</w:t>
      </w:r>
    </w:p>
    <w:p w14:paraId="7BE242FB" w14:textId="77777777" w:rsidR="005E7A17" w:rsidRDefault="00505045">
      <w:pPr>
        <w:pStyle w:val="Zkladntext"/>
      </w:pPr>
      <w:r>
        <w:rPr>
          <w:b/>
          <w:bCs/>
        </w:rPr>
        <w:t>H9 Stabilní demokracie nemá maximální polaritu osy L.</w:t>
      </w:r>
      <w:r>
        <w:t xml:space="preserve"> </w:t>
      </w:r>
      <w:r>
        <w:t xml:space="preserve">Nejstabilnější demokracie nevykazují nejvyšší možnou liberální polaritu, ale převahu pólu L+ při nezanedbatelném podílu malé angažovanosti na této ose. </w:t>
      </w:r>
      <w:r>
        <w:rPr>
          <w:i/>
          <w:iCs/>
        </w:rPr>
        <w:t>Plyne z:</w:t>
      </w:r>
      <w:r>
        <w:t xml:space="preserve"> kapitoly 4.3 (Almond a Verba: občanská kultura jako směs). </w:t>
      </w:r>
      <w:r>
        <w:rPr>
          <w:i/>
          <w:iCs/>
        </w:rPr>
        <w:t>Operacionalizace:</w:t>
      </w:r>
      <w:r>
        <w:t xml:space="preserve"> srovnání polarity a rozložení angažovanosti osy L s ukazateli stability režimu (V-Dem, délka nepřerušeného demokratického období). </w:t>
      </w:r>
      <w:r>
        <w:rPr>
          <w:i/>
          <w:iCs/>
        </w:rPr>
        <w:t>Vyvrátí ji:</w:t>
      </w:r>
      <w:r>
        <w:t xml:space="preserve"> monotónní vztah, podle něhož je stabilita tím vyšší, čím vyšší je polarita L+.</w:t>
      </w:r>
    </w:p>
    <w:p w14:paraId="7BE242FC" w14:textId="77777777" w:rsidR="005E7A17" w:rsidRDefault="00505045">
      <w:pPr>
        <w:pStyle w:val="Nadpis2"/>
      </w:pPr>
      <w:bookmarkStart w:id="69" w:name="hypotézy-o-dynamice-režimu"/>
      <w:bookmarkEnd w:id="68"/>
      <w:r>
        <w:t>12.4 Hypotézy o dynamice režimu</w:t>
      </w:r>
    </w:p>
    <w:p w14:paraId="7BE242FD" w14:textId="77777777" w:rsidR="005E7A17" w:rsidRDefault="00505045">
      <w:pPr>
        <w:pStyle w:val="FirstParagraph"/>
      </w:pPr>
      <w:r>
        <w:rPr>
          <w:b/>
          <w:bCs/>
        </w:rPr>
        <w:t>H10 Autoritativní práh.</w:t>
      </w:r>
      <w:r>
        <w:t xml:space="preserve"> Růst substantivní vyhraněnosti společnosti (veličina A) předchází poklesu na ose L. </w:t>
      </w:r>
      <w:r>
        <w:rPr>
          <w:i/>
          <w:iCs/>
        </w:rPr>
        <w:t>Plyne z:</w:t>
      </w:r>
      <w:r>
        <w:t xml:space="preserve"> kapitoly 3.5.2. </w:t>
      </w:r>
      <w:r>
        <w:rPr>
          <w:i/>
          <w:iCs/>
        </w:rPr>
        <w:t>Operacionalizace:</w:t>
      </w:r>
      <w:r>
        <w:t xml:space="preserve"> model přežití nebo logit, v němž je vysvětlovanou proměnnou začátek epizody autokratizace (V-Dem, Episodes of Regime Transformation) a vysvětlující proměnnou hodnota a změna A v předchozích volbách. </w:t>
      </w:r>
      <w:r>
        <w:rPr>
          <w:i/>
          <w:iCs/>
        </w:rPr>
        <w:t>Vyvrátí ji:</w:t>
      </w:r>
      <w:r>
        <w:t xml:space="preserve"> nulový nebo obrácený vztah, případně zjištění, že A nepřidává vysvětlující sílu nad rámec již známých prediktorů.</w:t>
      </w:r>
    </w:p>
    <w:p w14:paraId="7BE242FE" w14:textId="77777777" w:rsidR="005E7A17" w:rsidRDefault="00505045">
      <w:pPr>
        <w:pStyle w:val="Zkladntext"/>
      </w:pPr>
      <w:r>
        <w:rPr>
          <w:b/>
          <w:bCs/>
        </w:rPr>
        <w:t>H11 Hystereze úpadku a obnovy.</w:t>
      </w:r>
      <w:r>
        <w:t xml:space="preserve"> </w:t>
      </w:r>
      <w:r>
        <w:t xml:space="preserve">Pokles hodnoty μ_L probíhá rychleji než její obnova. </w:t>
      </w:r>
      <w:r>
        <w:rPr>
          <w:i/>
          <w:iCs/>
        </w:rPr>
        <w:t>Plyne z:</w:t>
      </w:r>
      <w:r>
        <w:t xml:space="preserve"> kapitol 10.1 až 10.3. </w:t>
      </w:r>
      <w:r>
        <w:rPr>
          <w:i/>
          <w:iCs/>
        </w:rPr>
        <w:t>Operacionalizace:</w:t>
      </w:r>
      <w:r>
        <w:t xml:space="preserve"> porovnání rychlosti změny μ_L v epizodách autokratizace a demokratizace v téže zemi i napříč zeměmi. </w:t>
      </w:r>
      <w:r>
        <w:rPr>
          <w:i/>
          <w:iCs/>
        </w:rPr>
        <w:t>Vyvrátí ji:</w:t>
      </w:r>
      <w:r>
        <w:t xml:space="preserve"> symetrie obou rychlostí, nebo zjištění, že se většina epizod úpadku rychle obrací (literatura o takzvaných U-turns), aniž by obnova vyžadovala mimořádný vstup.</w:t>
      </w:r>
    </w:p>
    <w:p w14:paraId="7BE242FF" w14:textId="77777777" w:rsidR="005E7A17" w:rsidRDefault="00505045">
      <w:pPr>
        <w:pStyle w:val="Zkladntext"/>
      </w:pPr>
      <w:r>
        <w:rPr>
          <w:b/>
          <w:bCs/>
        </w:rPr>
        <w:t>H12 Val a odolnost.</w:t>
      </w:r>
      <w:r>
        <w:t xml:space="preserve"> Systémy s vyšší počáteční hodnotou μ_L vyžadují k překročení prahu větší nebo déletrvající šok. </w:t>
      </w:r>
      <w:r>
        <w:rPr>
          <w:i/>
          <w:iCs/>
        </w:rPr>
        <w:t>Plyne z:</w:t>
      </w:r>
      <w:r>
        <w:t xml:space="preserve"> </w:t>
      </w:r>
      <w:r>
        <w:t xml:space="preserve">kapitoly 10.7, tvrzení 1. </w:t>
      </w:r>
      <w:r>
        <w:rPr>
          <w:i/>
          <w:iCs/>
        </w:rPr>
        <w:t>Operacionalizace:</w:t>
      </w:r>
      <w:r>
        <w:t xml:space="preserve"> srovnání trajektorií μ_L před epizodami úpadku. </w:t>
      </w:r>
      <w:r>
        <w:rPr>
          <w:i/>
          <w:iCs/>
        </w:rPr>
        <w:t>Vyvrátí ji:</w:t>
      </w:r>
      <w:r>
        <w:t xml:space="preserve"> nezávislost hloubky a délky šoku na počáteční hodnotě.</w:t>
      </w:r>
    </w:p>
    <w:p w14:paraId="7BE24300" w14:textId="77777777" w:rsidR="005E7A17" w:rsidRDefault="00505045">
      <w:pPr>
        <w:pStyle w:val="Zkladntext"/>
      </w:pPr>
      <w:r>
        <w:rPr>
          <w:b/>
          <w:bCs/>
        </w:rPr>
        <w:t>H13 Hloubka předchozího autoritářství.</w:t>
      </w:r>
      <w:r>
        <w:t xml:space="preserve"> Společnosti, jejichž autoritářství stálo na obou substantivních osách současně, vykazují hlubší pokles a pomalejší návrat než společnosti s autoritářstvím opřeným jen o jednu osu. </w:t>
      </w:r>
      <w:r>
        <w:rPr>
          <w:i/>
          <w:iCs/>
        </w:rPr>
        <w:t>Plyne z:</w:t>
      </w:r>
      <w:r>
        <w:t xml:space="preserve"> kapitoly 10.7, tvrzení 2. </w:t>
      </w:r>
      <w:r>
        <w:rPr>
          <w:i/>
          <w:iCs/>
        </w:rPr>
        <w:t>Operacionalizace:</w:t>
      </w:r>
      <w:r>
        <w:t xml:space="preserve"> srovnání rychlosti demokratizace podle konfigurace předchozího režimu. </w:t>
      </w:r>
      <w:r>
        <w:rPr>
          <w:i/>
          <w:iCs/>
        </w:rPr>
        <w:t>Vyvrátí ji:</w:t>
      </w:r>
      <w:r>
        <w:t xml:space="preserve"> stejná rychlost návratu bez ohledu na konfiguraci.</w:t>
      </w:r>
    </w:p>
    <w:p w14:paraId="7BE24301" w14:textId="77777777" w:rsidR="005E7A17" w:rsidRDefault="00505045">
      <w:pPr>
        <w:pStyle w:val="Zkladntext"/>
      </w:pPr>
      <w:r>
        <w:rPr>
          <w:b/>
          <w:bCs/>
        </w:rPr>
        <w:t>H14 Institucionální stopa.</w:t>
      </w:r>
      <w:r>
        <w:t xml:space="preserve"> Systém, který prošel cyklem úpadku a obnovy, je vůči dalšímu šoku méně odolný než systém bez takové zkušenosti. </w:t>
      </w:r>
      <w:r>
        <w:rPr>
          <w:i/>
          <w:iCs/>
        </w:rPr>
        <w:t>Plyne z:</w:t>
      </w:r>
      <w:r>
        <w:t xml:space="preserve"> kapitoly 10.7, tvrzení 3. </w:t>
      </w:r>
      <w:r>
        <w:rPr>
          <w:i/>
          <w:iCs/>
        </w:rPr>
        <w:t>Operacionalizace:</w:t>
      </w:r>
      <w:r>
        <w:t xml:space="preserve"> srovnání odolnosti systémů s jedním a s opakovanými cykly. </w:t>
      </w:r>
      <w:r>
        <w:rPr>
          <w:i/>
          <w:iCs/>
        </w:rPr>
        <w:t>Vyvrátí ji:</w:t>
      </w:r>
      <w:r>
        <w:t xml:space="preserve"> stejná nebo vyšší odolnost po prvním cyklu.</w:t>
      </w:r>
    </w:p>
    <w:p w14:paraId="7BE24302" w14:textId="77777777" w:rsidR="005E7A17" w:rsidRDefault="00505045">
      <w:pPr>
        <w:pStyle w:val="Zkladntext"/>
      </w:pPr>
      <w:r>
        <w:rPr>
          <w:b/>
          <w:bCs/>
        </w:rPr>
        <w:t>H15 Zdroje energie.</w:t>
      </w:r>
      <w:r>
        <w:t xml:space="preserve"> </w:t>
      </w:r>
      <w:r>
        <w:t xml:space="preserve">Země s historickou zkušeností reformace, domácí revoluce nebo vnější demokratizační podmíněnosti vykazují vyšší hodnoty na ose L než země bez těchto zkušeností, a kombinace zdrojů působí silněji než jediný zdroj. </w:t>
      </w:r>
      <w:r>
        <w:rPr>
          <w:i/>
          <w:iCs/>
        </w:rPr>
        <w:t>Plyne z:</w:t>
      </w:r>
      <w:r>
        <w:t xml:space="preserve"> kapitoly 11. </w:t>
      </w:r>
      <w:r>
        <w:rPr>
          <w:i/>
          <w:iCs/>
        </w:rPr>
        <w:t>Operacionalizace:</w:t>
      </w:r>
      <w:r>
        <w:t xml:space="preserve"> srovnávací analýza zemí s kódovanou přítomností jednotlivých zdrojů. </w:t>
      </w:r>
      <w:r>
        <w:rPr>
          <w:i/>
          <w:iCs/>
        </w:rPr>
        <w:t>Vyvrátí ji:</w:t>
      </w:r>
      <w:r>
        <w:t xml:space="preserve"> absence </w:t>
      </w:r>
      <w:r>
        <w:lastRenderedPageBreak/>
        <w:t>rozdílu, nebo zjištění, že rozdíl vysvětlují jiné proměnné (hospodářská úroveň, kolonizační historie).</w:t>
      </w:r>
    </w:p>
    <w:p w14:paraId="7BE24303" w14:textId="77777777" w:rsidR="005E7A17" w:rsidRDefault="00505045">
      <w:pPr>
        <w:pStyle w:val="Nadpis2"/>
      </w:pPr>
      <w:bookmarkStart w:id="70" w:name="hypotézy-o-koaliční-logice"/>
      <w:bookmarkEnd w:id="69"/>
      <w:r>
        <w:t>12.5 Hypotézy o koaliční logice</w:t>
      </w:r>
    </w:p>
    <w:p w14:paraId="7BE24304" w14:textId="77777777" w:rsidR="005E7A17" w:rsidRDefault="00505045">
      <w:pPr>
        <w:pStyle w:val="FirstParagraph"/>
      </w:pPr>
      <w:r>
        <w:rPr>
          <w:b/>
          <w:bCs/>
        </w:rPr>
        <w:t>H16 Princip nejslabšího článku.</w:t>
      </w:r>
      <w:r>
        <w:t xml:space="preserve"> </w:t>
      </w:r>
      <w:r>
        <w:t xml:space="preserve">O pravděpodobnosti vzniku koalice rozhoduje nejméně kompatibilní dvojice členů, ne průměrná kompatibilita. </w:t>
      </w:r>
      <w:r>
        <w:rPr>
          <w:i/>
          <w:iCs/>
        </w:rPr>
        <w:t>Plyne z:</w:t>
      </w:r>
      <w:r>
        <w:t xml:space="preserve"> kapitoly 9.1. </w:t>
      </w:r>
      <w:r>
        <w:rPr>
          <w:i/>
          <w:iCs/>
        </w:rPr>
        <w:t>Operacionalizace:</w:t>
      </w:r>
      <w:r>
        <w:t xml:space="preserve"> srovnání předpovědi modelu s minimem a s průměrem (podmíněný logit s kontrolami velikosti a většinovosti). </w:t>
      </w:r>
      <w:r>
        <w:rPr>
          <w:i/>
          <w:iCs/>
        </w:rPr>
        <w:t>Vyvrátí ji:</w:t>
      </w:r>
      <w:r>
        <w:t xml:space="preserve"> lepší predikce průměru než minima. </w:t>
      </w:r>
      <w:r>
        <w:rPr>
          <w:i/>
          <w:iCs/>
        </w:rPr>
        <w:t>Stav:</w:t>
      </w:r>
      <w:r>
        <w:t xml:space="preserve"> předběžně potvrzeno (dokument C, Test 14.6), zatím bez přímého srovnání obou variant.</w:t>
      </w:r>
    </w:p>
    <w:p w14:paraId="7BE24305" w14:textId="77777777" w:rsidR="005E7A17" w:rsidRDefault="00505045">
      <w:pPr>
        <w:pStyle w:val="Zkladntext"/>
      </w:pPr>
      <w:r>
        <w:rPr>
          <w:b/>
          <w:bCs/>
        </w:rPr>
        <w:t>H17 Klíčová osa.</w:t>
      </w:r>
      <w:r>
        <w:t xml:space="preserve"> </w:t>
      </w:r>
      <w:r>
        <w:t xml:space="preserve">Koalice vznikají přednostně mezi stranami se shodným směrem na ose, která má v daných volbách největší salienci nebo největší změnu salience. </w:t>
      </w:r>
      <w:r>
        <w:rPr>
          <w:i/>
          <w:iCs/>
        </w:rPr>
        <w:t>Plyne z:</w:t>
      </w:r>
      <w:r>
        <w:t xml:space="preserve"> kapitoly 9.1. </w:t>
      </w:r>
      <w:r>
        <w:rPr>
          <w:i/>
          <w:iCs/>
        </w:rPr>
        <w:t>Operacionalizace:</w:t>
      </w:r>
      <w:r>
        <w:t xml:space="preserve"> podmíněný logit s proměnnou shody na klíčové ose. </w:t>
      </w:r>
      <w:r>
        <w:rPr>
          <w:i/>
          <w:iCs/>
        </w:rPr>
        <w:t>Vyvrátí ji:</w:t>
      </w:r>
      <w:r>
        <w:t xml:space="preserve"> absence rozdílu mezi shodou na klíčové ose a shodou na ostatních osách.</w:t>
      </w:r>
    </w:p>
    <w:p w14:paraId="7BE24306" w14:textId="77777777" w:rsidR="005E7A17" w:rsidRDefault="00505045">
      <w:pPr>
        <w:pStyle w:val="Zkladntext"/>
      </w:pPr>
      <w:r>
        <w:rPr>
          <w:b/>
          <w:bCs/>
        </w:rPr>
        <w:t>H18 Flexibilita jednoosých stran.</w:t>
      </w:r>
      <w:r>
        <w:t xml:space="preserve"> Strany angažované na jediné ose vstupují do koalic s různými substantivními konfiguracemi častěji než strany angažované na všech třech osách. </w:t>
      </w:r>
      <w:r>
        <w:rPr>
          <w:i/>
          <w:iCs/>
        </w:rPr>
        <w:t>Plyne z:</w:t>
      </w:r>
      <w:r>
        <w:t xml:space="preserve"> </w:t>
      </w:r>
      <w:r>
        <w:t xml:space="preserve">kapitoly 9.1 a z definice konfigurací. </w:t>
      </w:r>
      <w:r>
        <w:rPr>
          <w:i/>
          <w:iCs/>
        </w:rPr>
        <w:t>Operacionalizace:</w:t>
      </w:r>
      <w:r>
        <w:t xml:space="preserve"> srovnání rozmanitosti koaličních partnerů podle typu strany. </w:t>
      </w:r>
      <w:r>
        <w:rPr>
          <w:i/>
          <w:iCs/>
        </w:rPr>
        <w:t>Vyvrátí ji:</w:t>
      </w:r>
      <w:r>
        <w:t xml:space="preserve"> stejná nebo nižší rozmanitost partnerů u jednoosých stran.</w:t>
      </w:r>
    </w:p>
    <w:p w14:paraId="7BE24307" w14:textId="77777777" w:rsidR="005E7A17" w:rsidRDefault="00505045">
      <w:pPr>
        <w:pStyle w:val="Zkladntext"/>
      </w:pPr>
      <w:r>
        <w:rPr>
          <w:b/>
          <w:bCs/>
        </w:rPr>
        <w:t>H19 Subjekty mimo definiční obor.</w:t>
      </w:r>
      <w:r>
        <w:t xml:space="preserve"> Technokratické vlády a non-seeking strany nemají předpověditelnou pozici v prostoru; jejich zahrnutí do výpočtu zhoršuje predikci. </w:t>
      </w:r>
      <w:r>
        <w:rPr>
          <w:i/>
          <w:iCs/>
        </w:rPr>
        <w:t>Plyne z:</w:t>
      </w:r>
      <w:r>
        <w:t xml:space="preserve"> kapitol 9.4 a 9.5. </w:t>
      </w:r>
      <w:r>
        <w:rPr>
          <w:i/>
          <w:iCs/>
        </w:rPr>
        <w:t>Operacionalizace:</w:t>
      </w:r>
      <w:r>
        <w:t xml:space="preserve"> porovnání kvality predikce koalic s těmito případy a bez nich. </w:t>
      </w:r>
      <w:r>
        <w:rPr>
          <w:i/>
          <w:iCs/>
        </w:rPr>
        <w:t>Vyvrátí ji:</w:t>
      </w:r>
      <w:r>
        <w:t xml:space="preserve"> zlepšení predikce po jejich zahrnutí.</w:t>
      </w:r>
    </w:p>
    <w:p w14:paraId="3B6818BD" w14:textId="7182B107" w:rsidR="002B0C2D" w:rsidRDefault="002B0C2D">
      <w:pPr>
        <w:pStyle w:val="Zkladntext"/>
      </w:pPr>
    </w:p>
    <w:p w14:paraId="7BE24308" w14:textId="77777777" w:rsidR="005E7A17" w:rsidRDefault="00505045">
      <w:pPr>
        <w:pStyle w:val="Nadpis2"/>
      </w:pPr>
      <w:bookmarkStart w:id="71" w:name="přehled"/>
      <w:bookmarkEnd w:id="70"/>
      <w:r>
        <w:t>12.6 Přehled</w:t>
      </w:r>
    </w:p>
    <w:tbl>
      <w:tblPr>
        <w:tblStyle w:val="Table"/>
        <w:tblW w:w="9072" w:type="dxa"/>
        <w:tblLayout w:type="fixed"/>
        <w:tblLook w:val="0020" w:firstRow="1" w:lastRow="0" w:firstColumn="0" w:lastColumn="0" w:noHBand="0" w:noVBand="0"/>
      </w:tblPr>
      <w:tblGrid>
        <w:gridCol w:w="3498"/>
        <w:gridCol w:w="1077"/>
        <w:gridCol w:w="2598"/>
        <w:gridCol w:w="1899"/>
      </w:tblGrid>
      <w:tr w:rsidR="005E7A17" w14:paraId="7BE2430D" w14:textId="77777777" w:rsidTr="005E7A17">
        <w:trPr>
          <w:cnfStyle w:val="100000000000" w:firstRow="1" w:lastRow="0" w:firstColumn="0" w:lastColumn="0" w:oddVBand="0" w:evenVBand="0" w:oddHBand="0" w:evenHBand="0" w:firstRowFirstColumn="0" w:firstRowLastColumn="0" w:lastRowFirstColumn="0" w:lastRowLastColumn="0"/>
          <w:tblHeader/>
        </w:trPr>
        <w:tc>
          <w:tcPr>
            <w:tcW w:w="3497" w:type="dxa"/>
          </w:tcPr>
          <w:p w14:paraId="7BE24309" w14:textId="77777777" w:rsidR="005E7A17" w:rsidRDefault="00505045">
            <w:pPr>
              <w:pStyle w:val="Compact"/>
            </w:pPr>
            <w:r>
              <w:t>Hypotéza</w:t>
            </w:r>
          </w:p>
        </w:tc>
        <w:tc>
          <w:tcPr>
            <w:tcW w:w="1077" w:type="dxa"/>
          </w:tcPr>
          <w:p w14:paraId="7BE2430A" w14:textId="77777777" w:rsidR="005E7A17" w:rsidRDefault="00505045">
            <w:pPr>
              <w:pStyle w:val="Compact"/>
            </w:pPr>
            <w:r>
              <w:t>Plyne z</w:t>
            </w:r>
          </w:p>
        </w:tc>
        <w:tc>
          <w:tcPr>
            <w:tcW w:w="2598" w:type="dxa"/>
          </w:tcPr>
          <w:p w14:paraId="7BE2430B" w14:textId="77777777" w:rsidR="005E7A17" w:rsidRDefault="00505045">
            <w:pPr>
              <w:pStyle w:val="Compact"/>
            </w:pPr>
            <w:r>
              <w:t>Hlavní data</w:t>
            </w:r>
          </w:p>
        </w:tc>
        <w:tc>
          <w:tcPr>
            <w:tcW w:w="1899" w:type="dxa"/>
          </w:tcPr>
          <w:p w14:paraId="7BE2430C" w14:textId="77777777" w:rsidR="005E7A17" w:rsidRDefault="00505045">
            <w:pPr>
              <w:pStyle w:val="Compact"/>
            </w:pPr>
            <w:r>
              <w:t>Stav</w:t>
            </w:r>
          </w:p>
        </w:tc>
      </w:tr>
      <w:tr w:rsidR="005E7A17" w14:paraId="7BE24312" w14:textId="77777777" w:rsidTr="005E7A17">
        <w:tc>
          <w:tcPr>
            <w:tcW w:w="3497" w:type="dxa"/>
          </w:tcPr>
          <w:p w14:paraId="7BE2430E" w14:textId="77777777" w:rsidR="005E7A17" w:rsidRDefault="00505045">
            <w:pPr>
              <w:pStyle w:val="Compact"/>
            </w:pPr>
            <w:r>
              <w:t>H1 Tři dimenze jsou rozlišitelné</w:t>
            </w:r>
          </w:p>
        </w:tc>
        <w:tc>
          <w:tcPr>
            <w:tcW w:w="1077" w:type="dxa"/>
          </w:tcPr>
          <w:p w14:paraId="7BE2430F" w14:textId="77777777" w:rsidR="005E7A17" w:rsidRDefault="00505045">
            <w:pPr>
              <w:pStyle w:val="Compact"/>
            </w:pPr>
            <w:r>
              <w:t>4, 6.5</w:t>
            </w:r>
          </w:p>
        </w:tc>
        <w:tc>
          <w:tcPr>
            <w:tcW w:w="2598" w:type="dxa"/>
          </w:tcPr>
          <w:p w14:paraId="7BE24310" w14:textId="77777777" w:rsidR="005E7A17" w:rsidRDefault="00505045">
            <w:pPr>
              <w:pStyle w:val="Compact"/>
            </w:pPr>
            <w:r>
              <w:t>MARPOR, CHES</w:t>
            </w:r>
          </w:p>
        </w:tc>
        <w:tc>
          <w:tcPr>
            <w:tcW w:w="1899" w:type="dxa"/>
          </w:tcPr>
          <w:p w14:paraId="7BE24311" w14:textId="77777777" w:rsidR="005E7A17" w:rsidRDefault="00505045">
            <w:pPr>
              <w:pStyle w:val="Compact"/>
            </w:pPr>
            <w:r>
              <w:t>předběžně potvrzeno</w:t>
            </w:r>
          </w:p>
        </w:tc>
      </w:tr>
      <w:tr w:rsidR="005E7A17" w14:paraId="7BE24317" w14:textId="77777777" w:rsidTr="005E7A17">
        <w:tc>
          <w:tcPr>
            <w:tcW w:w="3497" w:type="dxa"/>
          </w:tcPr>
          <w:p w14:paraId="7BE24313" w14:textId="77777777" w:rsidR="005E7A17" w:rsidRDefault="00505045">
            <w:pPr>
              <w:pStyle w:val="Compact"/>
            </w:pPr>
            <w:r>
              <w:t>H2 Přímá demokracie jako L−</w:t>
            </w:r>
          </w:p>
        </w:tc>
        <w:tc>
          <w:tcPr>
            <w:tcW w:w="1077" w:type="dxa"/>
          </w:tcPr>
          <w:p w14:paraId="7BE24314" w14:textId="77777777" w:rsidR="005E7A17" w:rsidRDefault="00505045">
            <w:pPr>
              <w:pStyle w:val="Compact"/>
            </w:pPr>
            <w:r>
              <w:t>3.4, 6.2</w:t>
            </w:r>
          </w:p>
        </w:tc>
        <w:tc>
          <w:tcPr>
            <w:tcW w:w="2598" w:type="dxa"/>
          </w:tcPr>
          <w:p w14:paraId="7BE24315" w14:textId="77777777" w:rsidR="005E7A17" w:rsidRDefault="00505045">
            <w:pPr>
              <w:pStyle w:val="Compact"/>
            </w:pPr>
            <w:r>
              <w:t>CHES, V-Party, V-Dem</w:t>
            </w:r>
          </w:p>
        </w:tc>
        <w:tc>
          <w:tcPr>
            <w:tcW w:w="1899" w:type="dxa"/>
          </w:tcPr>
          <w:p w14:paraId="7BE24316" w14:textId="77777777" w:rsidR="005E7A17" w:rsidRDefault="00505045">
            <w:pPr>
              <w:pStyle w:val="Compact"/>
            </w:pPr>
            <w:r>
              <w:t>netestováno</w:t>
            </w:r>
          </w:p>
        </w:tc>
      </w:tr>
      <w:tr w:rsidR="005E7A17" w14:paraId="7BE2431C" w14:textId="77777777" w:rsidTr="005E7A17">
        <w:tc>
          <w:tcPr>
            <w:tcW w:w="3497" w:type="dxa"/>
          </w:tcPr>
          <w:p w14:paraId="7BE24318" w14:textId="77777777" w:rsidR="005E7A17" w:rsidRDefault="00505045">
            <w:pPr>
              <w:pStyle w:val="Compact"/>
            </w:pPr>
            <w:r>
              <w:t>H3 Převaha pólu L+</w:t>
            </w:r>
          </w:p>
        </w:tc>
        <w:tc>
          <w:tcPr>
            <w:tcW w:w="1077" w:type="dxa"/>
          </w:tcPr>
          <w:p w14:paraId="7BE24319" w14:textId="77777777" w:rsidR="005E7A17" w:rsidRDefault="00505045">
            <w:pPr>
              <w:pStyle w:val="Compact"/>
            </w:pPr>
            <w:r>
              <w:t>6, 8.4</w:t>
            </w:r>
          </w:p>
        </w:tc>
        <w:tc>
          <w:tcPr>
            <w:tcW w:w="2598" w:type="dxa"/>
          </w:tcPr>
          <w:p w14:paraId="7BE2431A" w14:textId="77777777" w:rsidR="005E7A17" w:rsidRDefault="00505045">
            <w:pPr>
              <w:pStyle w:val="Compact"/>
            </w:pPr>
            <w:r>
              <w:t>CHES, MARPOR, V-Party</w:t>
            </w:r>
          </w:p>
        </w:tc>
        <w:tc>
          <w:tcPr>
            <w:tcW w:w="1899" w:type="dxa"/>
          </w:tcPr>
          <w:p w14:paraId="7BE2431B" w14:textId="77777777" w:rsidR="005E7A17" w:rsidRDefault="00505045">
            <w:pPr>
              <w:pStyle w:val="Compact"/>
            </w:pPr>
            <w:r>
              <w:t>předběžně potvrzeno</w:t>
            </w:r>
          </w:p>
        </w:tc>
      </w:tr>
      <w:tr w:rsidR="005E7A17" w14:paraId="7BE24321" w14:textId="77777777" w:rsidTr="005E7A17">
        <w:tc>
          <w:tcPr>
            <w:tcW w:w="3497" w:type="dxa"/>
          </w:tcPr>
          <w:p w14:paraId="7BE2431D" w14:textId="77777777" w:rsidR="005E7A17" w:rsidRDefault="00505045">
            <w:pPr>
              <w:pStyle w:val="Compact"/>
            </w:pPr>
            <w:r>
              <w:t>H4 Vzácnost L+E+F− a L−E−F+</w:t>
            </w:r>
          </w:p>
        </w:tc>
        <w:tc>
          <w:tcPr>
            <w:tcW w:w="1077" w:type="dxa"/>
          </w:tcPr>
          <w:p w14:paraId="7BE2431E" w14:textId="77777777" w:rsidR="005E7A17" w:rsidRDefault="00505045">
            <w:pPr>
              <w:pStyle w:val="Compact"/>
            </w:pPr>
            <w:r>
              <w:t>6.5, 7.2</w:t>
            </w:r>
          </w:p>
        </w:tc>
        <w:tc>
          <w:tcPr>
            <w:tcW w:w="2598" w:type="dxa"/>
          </w:tcPr>
          <w:p w14:paraId="7BE2431F" w14:textId="77777777" w:rsidR="005E7A17" w:rsidRDefault="00505045">
            <w:pPr>
              <w:pStyle w:val="Compact"/>
            </w:pPr>
            <w:r>
              <w:t>databáze modelu</w:t>
            </w:r>
          </w:p>
        </w:tc>
        <w:tc>
          <w:tcPr>
            <w:tcW w:w="1899" w:type="dxa"/>
          </w:tcPr>
          <w:p w14:paraId="7BE24320" w14:textId="77777777" w:rsidR="005E7A17" w:rsidRDefault="00505045">
            <w:pPr>
              <w:pStyle w:val="Compact"/>
            </w:pPr>
            <w:r>
              <w:t>předběžně potvrzeno</w:t>
            </w:r>
          </w:p>
        </w:tc>
      </w:tr>
      <w:tr w:rsidR="005E7A17" w14:paraId="7BE24326" w14:textId="77777777" w:rsidTr="005E7A17">
        <w:tc>
          <w:tcPr>
            <w:tcW w:w="3497" w:type="dxa"/>
          </w:tcPr>
          <w:p w14:paraId="7BE24322" w14:textId="77777777" w:rsidR="005E7A17" w:rsidRDefault="00505045">
            <w:pPr>
              <w:pStyle w:val="Compact"/>
            </w:pPr>
            <w:r>
              <w:t>H5 Strany ve vleku voličů</w:t>
            </w:r>
          </w:p>
        </w:tc>
        <w:tc>
          <w:tcPr>
            <w:tcW w:w="1077" w:type="dxa"/>
          </w:tcPr>
          <w:p w14:paraId="7BE24323" w14:textId="77777777" w:rsidR="005E7A17" w:rsidRDefault="00505045">
            <w:pPr>
              <w:pStyle w:val="Compact"/>
            </w:pPr>
            <w:r>
              <w:t>8.2, 9.1</w:t>
            </w:r>
          </w:p>
        </w:tc>
        <w:tc>
          <w:tcPr>
            <w:tcW w:w="2598" w:type="dxa"/>
          </w:tcPr>
          <w:p w14:paraId="7BE24324" w14:textId="77777777" w:rsidR="005E7A17" w:rsidRDefault="00505045">
            <w:pPr>
              <w:pStyle w:val="Compact"/>
            </w:pPr>
            <w:r>
              <w:t>ESS, CSES, CHES</w:t>
            </w:r>
          </w:p>
        </w:tc>
        <w:tc>
          <w:tcPr>
            <w:tcW w:w="1899" w:type="dxa"/>
          </w:tcPr>
          <w:p w14:paraId="7BE24325" w14:textId="77777777" w:rsidR="005E7A17" w:rsidRDefault="00505045">
            <w:pPr>
              <w:pStyle w:val="Compact"/>
            </w:pPr>
            <w:r>
              <w:t>netestováno</w:t>
            </w:r>
          </w:p>
        </w:tc>
      </w:tr>
      <w:tr w:rsidR="005E7A17" w14:paraId="7BE2432B" w14:textId="77777777" w:rsidTr="005E7A17">
        <w:tc>
          <w:tcPr>
            <w:tcW w:w="3497" w:type="dxa"/>
          </w:tcPr>
          <w:p w14:paraId="7BE24327" w14:textId="77777777" w:rsidR="005E7A17" w:rsidRDefault="00505045">
            <w:pPr>
              <w:pStyle w:val="Compact"/>
            </w:pPr>
            <w:r>
              <w:t>H6 Jádro elektorátu ≠ poloha strany</w:t>
            </w:r>
          </w:p>
        </w:tc>
        <w:tc>
          <w:tcPr>
            <w:tcW w:w="1077" w:type="dxa"/>
          </w:tcPr>
          <w:p w14:paraId="7BE24328" w14:textId="77777777" w:rsidR="005E7A17" w:rsidRDefault="00505045">
            <w:pPr>
              <w:pStyle w:val="Compact"/>
            </w:pPr>
            <w:r>
              <w:t>8.2</w:t>
            </w:r>
          </w:p>
        </w:tc>
        <w:tc>
          <w:tcPr>
            <w:tcW w:w="2598" w:type="dxa"/>
          </w:tcPr>
          <w:p w14:paraId="7BE24329" w14:textId="77777777" w:rsidR="005E7A17" w:rsidRDefault="00505045">
            <w:pPr>
              <w:pStyle w:val="Compact"/>
            </w:pPr>
            <w:r>
              <w:t>ESS, CSES</w:t>
            </w:r>
          </w:p>
        </w:tc>
        <w:tc>
          <w:tcPr>
            <w:tcW w:w="1899" w:type="dxa"/>
          </w:tcPr>
          <w:p w14:paraId="7BE2432A" w14:textId="77777777" w:rsidR="005E7A17" w:rsidRDefault="00505045">
            <w:pPr>
              <w:pStyle w:val="Compact"/>
            </w:pPr>
            <w:r>
              <w:t>netestováno</w:t>
            </w:r>
          </w:p>
        </w:tc>
      </w:tr>
      <w:tr w:rsidR="005E7A17" w14:paraId="7BE24330" w14:textId="77777777" w:rsidTr="005E7A17">
        <w:tc>
          <w:tcPr>
            <w:tcW w:w="3497" w:type="dxa"/>
          </w:tcPr>
          <w:p w14:paraId="7BE2432C" w14:textId="77777777" w:rsidR="005E7A17" w:rsidRDefault="00505045">
            <w:pPr>
              <w:pStyle w:val="Compact"/>
            </w:pPr>
            <w:r>
              <w:t>H7 Strany se přibližují voličům</w:t>
            </w:r>
          </w:p>
        </w:tc>
        <w:tc>
          <w:tcPr>
            <w:tcW w:w="1077" w:type="dxa"/>
          </w:tcPr>
          <w:p w14:paraId="7BE2432D" w14:textId="77777777" w:rsidR="005E7A17" w:rsidRDefault="00505045">
            <w:pPr>
              <w:pStyle w:val="Compact"/>
            </w:pPr>
            <w:r>
              <w:t>8.2</w:t>
            </w:r>
          </w:p>
        </w:tc>
        <w:tc>
          <w:tcPr>
            <w:tcW w:w="2598" w:type="dxa"/>
          </w:tcPr>
          <w:p w14:paraId="7BE2432E" w14:textId="77777777" w:rsidR="005E7A17" w:rsidRDefault="00505045">
            <w:pPr>
              <w:pStyle w:val="Compact"/>
            </w:pPr>
            <w:r>
              <w:t>panel ESS × CHES</w:t>
            </w:r>
          </w:p>
        </w:tc>
        <w:tc>
          <w:tcPr>
            <w:tcW w:w="1899" w:type="dxa"/>
          </w:tcPr>
          <w:p w14:paraId="7BE2432F" w14:textId="77777777" w:rsidR="005E7A17" w:rsidRDefault="00505045">
            <w:pPr>
              <w:pStyle w:val="Compact"/>
            </w:pPr>
            <w:r>
              <w:t>netestováno</w:t>
            </w:r>
          </w:p>
        </w:tc>
      </w:tr>
      <w:tr w:rsidR="005E7A17" w14:paraId="7BE24335" w14:textId="77777777" w:rsidTr="005E7A17">
        <w:tc>
          <w:tcPr>
            <w:tcW w:w="3497" w:type="dxa"/>
          </w:tcPr>
          <w:p w14:paraId="7BE24331" w14:textId="77777777" w:rsidR="005E7A17" w:rsidRDefault="00505045">
            <w:pPr>
              <w:pStyle w:val="Compact"/>
            </w:pPr>
            <w:r>
              <w:t>H8 Generační horizont změny</w:t>
            </w:r>
          </w:p>
        </w:tc>
        <w:tc>
          <w:tcPr>
            <w:tcW w:w="1077" w:type="dxa"/>
          </w:tcPr>
          <w:p w14:paraId="7BE24332" w14:textId="77777777" w:rsidR="005E7A17" w:rsidRDefault="00505045">
            <w:pPr>
              <w:pStyle w:val="Compact"/>
            </w:pPr>
            <w:r>
              <w:t>4.3</w:t>
            </w:r>
          </w:p>
        </w:tc>
        <w:tc>
          <w:tcPr>
            <w:tcW w:w="2598" w:type="dxa"/>
          </w:tcPr>
          <w:p w14:paraId="7BE24333" w14:textId="77777777" w:rsidR="005E7A17" w:rsidRDefault="00505045">
            <w:pPr>
              <w:pStyle w:val="Compact"/>
            </w:pPr>
            <w:r>
              <w:t>WVS/EVS, ESS</w:t>
            </w:r>
          </w:p>
        </w:tc>
        <w:tc>
          <w:tcPr>
            <w:tcW w:w="1899" w:type="dxa"/>
          </w:tcPr>
          <w:p w14:paraId="7BE24334" w14:textId="77777777" w:rsidR="005E7A17" w:rsidRDefault="00505045">
            <w:pPr>
              <w:pStyle w:val="Compact"/>
            </w:pPr>
            <w:r>
              <w:t>netestováno</w:t>
            </w:r>
          </w:p>
        </w:tc>
      </w:tr>
      <w:tr w:rsidR="005E7A17" w14:paraId="7BE2433A" w14:textId="77777777" w:rsidTr="005E7A17">
        <w:tc>
          <w:tcPr>
            <w:tcW w:w="3497" w:type="dxa"/>
          </w:tcPr>
          <w:p w14:paraId="7BE24336" w14:textId="77777777" w:rsidR="005E7A17" w:rsidRDefault="00505045">
            <w:pPr>
              <w:pStyle w:val="Compact"/>
            </w:pPr>
            <w:r>
              <w:t>H9 Stabilita bez maximální polarity L</w:t>
            </w:r>
          </w:p>
        </w:tc>
        <w:tc>
          <w:tcPr>
            <w:tcW w:w="1077" w:type="dxa"/>
          </w:tcPr>
          <w:p w14:paraId="7BE24337" w14:textId="77777777" w:rsidR="005E7A17" w:rsidRDefault="00505045">
            <w:pPr>
              <w:pStyle w:val="Compact"/>
            </w:pPr>
            <w:r>
              <w:t>4.3</w:t>
            </w:r>
          </w:p>
        </w:tc>
        <w:tc>
          <w:tcPr>
            <w:tcW w:w="2598" w:type="dxa"/>
          </w:tcPr>
          <w:p w14:paraId="7BE24338" w14:textId="77777777" w:rsidR="005E7A17" w:rsidRDefault="00505045">
            <w:pPr>
              <w:pStyle w:val="Compact"/>
            </w:pPr>
            <w:r>
              <w:t>V-Dem, databáze modelu</w:t>
            </w:r>
          </w:p>
        </w:tc>
        <w:tc>
          <w:tcPr>
            <w:tcW w:w="1899" w:type="dxa"/>
          </w:tcPr>
          <w:p w14:paraId="7BE24339" w14:textId="77777777" w:rsidR="005E7A17" w:rsidRDefault="00505045">
            <w:pPr>
              <w:pStyle w:val="Compact"/>
            </w:pPr>
            <w:r>
              <w:t>netestováno</w:t>
            </w:r>
          </w:p>
        </w:tc>
      </w:tr>
      <w:tr w:rsidR="005E7A17" w14:paraId="7BE2433F" w14:textId="77777777" w:rsidTr="005E7A17">
        <w:tc>
          <w:tcPr>
            <w:tcW w:w="3497" w:type="dxa"/>
          </w:tcPr>
          <w:p w14:paraId="7BE2433B" w14:textId="77777777" w:rsidR="005E7A17" w:rsidRDefault="00505045">
            <w:pPr>
              <w:pStyle w:val="Compact"/>
            </w:pPr>
            <w:r>
              <w:t>H10 Autoritativní práh</w:t>
            </w:r>
          </w:p>
        </w:tc>
        <w:tc>
          <w:tcPr>
            <w:tcW w:w="1077" w:type="dxa"/>
          </w:tcPr>
          <w:p w14:paraId="7BE2433C" w14:textId="77777777" w:rsidR="005E7A17" w:rsidRDefault="00505045">
            <w:pPr>
              <w:pStyle w:val="Compact"/>
            </w:pPr>
            <w:r>
              <w:t>3.5.2</w:t>
            </w:r>
          </w:p>
        </w:tc>
        <w:tc>
          <w:tcPr>
            <w:tcW w:w="2598" w:type="dxa"/>
          </w:tcPr>
          <w:p w14:paraId="7BE2433D" w14:textId="77777777" w:rsidR="005E7A17" w:rsidRDefault="00505045">
            <w:pPr>
              <w:pStyle w:val="Compact"/>
            </w:pPr>
            <w:r>
              <w:t>V-Dem ERT</w:t>
            </w:r>
          </w:p>
        </w:tc>
        <w:tc>
          <w:tcPr>
            <w:tcW w:w="1899" w:type="dxa"/>
          </w:tcPr>
          <w:p w14:paraId="7BE2433E" w14:textId="77777777" w:rsidR="005E7A17" w:rsidRDefault="00505045">
            <w:pPr>
              <w:pStyle w:val="Compact"/>
            </w:pPr>
            <w:r>
              <w:t>netestováno</w:t>
            </w:r>
          </w:p>
        </w:tc>
      </w:tr>
      <w:tr w:rsidR="005E7A17" w14:paraId="7BE24344" w14:textId="77777777" w:rsidTr="005E7A17">
        <w:tc>
          <w:tcPr>
            <w:tcW w:w="3497" w:type="dxa"/>
          </w:tcPr>
          <w:p w14:paraId="7BE24340" w14:textId="77777777" w:rsidR="005E7A17" w:rsidRDefault="00505045">
            <w:pPr>
              <w:pStyle w:val="Compact"/>
            </w:pPr>
            <w:r>
              <w:t>H11 Hystereze</w:t>
            </w:r>
          </w:p>
        </w:tc>
        <w:tc>
          <w:tcPr>
            <w:tcW w:w="1077" w:type="dxa"/>
          </w:tcPr>
          <w:p w14:paraId="7BE24341" w14:textId="77777777" w:rsidR="005E7A17" w:rsidRDefault="00505045">
            <w:pPr>
              <w:pStyle w:val="Compact"/>
            </w:pPr>
            <w:r>
              <w:t>10.1–10.3</w:t>
            </w:r>
          </w:p>
        </w:tc>
        <w:tc>
          <w:tcPr>
            <w:tcW w:w="2598" w:type="dxa"/>
          </w:tcPr>
          <w:p w14:paraId="7BE24342" w14:textId="77777777" w:rsidR="005E7A17" w:rsidRDefault="00505045">
            <w:pPr>
              <w:pStyle w:val="Compact"/>
            </w:pPr>
            <w:r>
              <w:t>V-Dem ERT</w:t>
            </w:r>
          </w:p>
        </w:tc>
        <w:tc>
          <w:tcPr>
            <w:tcW w:w="1899" w:type="dxa"/>
          </w:tcPr>
          <w:p w14:paraId="7BE24343" w14:textId="77777777" w:rsidR="005E7A17" w:rsidRDefault="00505045">
            <w:pPr>
              <w:pStyle w:val="Compact"/>
            </w:pPr>
            <w:r>
              <w:t>netestováno</w:t>
            </w:r>
          </w:p>
        </w:tc>
      </w:tr>
      <w:tr w:rsidR="005E7A17" w14:paraId="7BE24349" w14:textId="77777777" w:rsidTr="005E7A17">
        <w:tc>
          <w:tcPr>
            <w:tcW w:w="3497" w:type="dxa"/>
          </w:tcPr>
          <w:p w14:paraId="7BE24345" w14:textId="77777777" w:rsidR="005E7A17" w:rsidRDefault="00505045">
            <w:pPr>
              <w:pStyle w:val="Compact"/>
            </w:pPr>
            <w:r>
              <w:t>H12 Val a odolnost</w:t>
            </w:r>
          </w:p>
        </w:tc>
        <w:tc>
          <w:tcPr>
            <w:tcW w:w="1077" w:type="dxa"/>
          </w:tcPr>
          <w:p w14:paraId="7BE24346" w14:textId="77777777" w:rsidR="005E7A17" w:rsidRDefault="00505045">
            <w:pPr>
              <w:pStyle w:val="Compact"/>
            </w:pPr>
            <w:r>
              <w:t>10.7</w:t>
            </w:r>
          </w:p>
        </w:tc>
        <w:tc>
          <w:tcPr>
            <w:tcW w:w="2598" w:type="dxa"/>
          </w:tcPr>
          <w:p w14:paraId="7BE24347" w14:textId="77777777" w:rsidR="005E7A17" w:rsidRDefault="00505045">
            <w:pPr>
              <w:pStyle w:val="Compact"/>
            </w:pPr>
            <w:r>
              <w:t>V-Dem, databáze modelu</w:t>
            </w:r>
          </w:p>
        </w:tc>
        <w:tc>
          <w:tcPr>
            <w:tcW w:w="1899" w:type="dxa"/>
          </w:tcPr>
          <w:p w14:paraId="7BE24348" w14:textId="77777777" w:rsidR="005E7A17" w:rsidRDefault="00505045">
            <w:pPr>
              <w:pStyle w:val="Compact"/>
            </w:pPr>
            <w:r>
              <w:t>netestováno</w:t>
            </w:r>
          </w:p>
        </w:tc>
      </w:tr>
      <w:tr w:rsidR="005E7A17" w14:paraId="7BE2434E" w14:textId="77777777" w:rsidTr="005E7A17">
        <w:tc>
          <w:tcPr>
            <w:tcW w:w="3497" w:type="dxa"/>
          </w:tcPr>
          <w:p w14:paraId="7BE2434A" w14:textId="77777777" w:rsidR="005E7A17" w:rsidRDefault="00505045">
            <w:pPr>
              <w:pStyle w:val="Compact"/>
            </w:pPr>
            <w:r>
              <w:lastRenderedPageBreak/>
              <w:t>H13 Hloubka autoritářství</w:t>
            </w:r>
          </w:p>
        </w:tc>
        <w:tc>
          <w:tcPr>
            <w:tcW w:w="1077" w:type="dxa"/>
          </w:tcPr>
          <w:p w14:paraId="7BE2434B" w14:textId="77777777" w:rsidR="005E7A17" w:rsidRDefault="00505045">
            <w:pPr>
              <w:pStyle w:val="Compact"/>
            </w:pPr>
            <w:r>
              <w:t>10.7</w:t>
            </w:r>
          </w:p>
        </w:tc>
        <w:tc>
          <w:tcPr>
            <w:tcW w:w="2598" w:type="dxa"/>
          </w:tcPr>
          <w:p w14:paraId="7BE2434C" w14:textId="77777777" w:rsidR="005E7A17" w:rsidRDefault="00505045">
            <w:pPr>
              <w:pStyle w:val="Compact"/>
            </w:pPr>
            <w:r>
              <w:t>V-Dem, historické případy</w:t>
            </w:r>
          </w:p>
        </w:tc>
        <w:tc>
          <w:tcPr>
            <w:tcW w:w="1899" w:type="dxa"/>
          </w:tcPr>
          <w:p w14:paraId="7BE2434D" w14:textId="77777777" w:rsidR="005E7A17" w:rsidRDefault="00505045">
            <w:pPr>
              <w:pStyle w:val="Compact"/>
            </w:pPr>
            <w:r>
              <w:t>netestováno</w:t>
            </w:r>
          </w:p>
        </w:tc>
      </w:tr>
      <w:tr w:rsidR="005E7A17" w14:paraId="7BE24353" w14:textId="77777777" w:rsidTr="005E7A17">
        <w:tc>
          <w:tcPr>
            <w:tcW w:w="3497" w:type="dxa"/>
          </w:tcPr>
          <w:p w14:paraId="7BE2434F" w14:textId="77777777" w:rsidR="005E7A17" w:rsidRDefault="00505045">
            <w:pPr>
              <w:pStyle w:val="Compact"/>
            </w:pPr>
            <w:r>
              <w:t>H14 Institucionální stopa</w:t>
            </w:r>
          </w:p>
        </w:tc>
        <w:tc>
          <w:tcPr>
            <w:tcW w:w="1077" w:type="dxa"/>
          </w:tcPr>
          <w:p w14:paraId="7BE24350" w14:textId="77777777" w:rsidR="005E7A17" w:rsidRDefault="00505045">
            <w:pPr>
              <w:pStyle w:val="Compact"/>
            </w:pPr>
            <w:r>
              <w:t>10.7</w:t>
            </w:r>
          </w:p>
        </w:tc>
        <w:tc>
          <w:tcPr>
            <w:tcW w:w="2598" w:type="dxa"/>
          </w:tcPr>
          <w:p w14:paraId="7BE24351" w14:textId="77777777" w:rsidR="005E7A17" w:rsidRDefault="00505045">
            <w:pPr>
              <w:pStyle w:val="Compact"/>
            </w:pPr>
            <w:r>
              <w:t>V-Dem ERT</w:t>
            </w:r>
          </w:p>
        </w:tc>
        <w:tc>
          <w:tcPr>
            <w:tcW w:w="1899" w:type="dxa"/>
          </w:tcPr>
          <w:p w14:paraId="7BE24352" w14:textId="77777777" w:rsidR="005E7A17" w:rsidRDefault="00505045">
            <w:pPr>
              <w:pStyle w:val="Compact"/>
            </w:pPr>
            <w:r>
              <w:t>netestováno</w:t>
            </w:r>
          </w:p>
        </w:tc>
      </w:tr>
      <w:tr w:rsidR="005E7A17" w14:paraId="7BE24358" w14:textId="77777777" w:rsidTr="005E7A17">
        <w:tc>
          <w:tcPr>
            <w:tcW w:w="3497" w:type="dxa"/>
          </w:tcPr>
          <w:p w14:paraId="7BE24354" w14:textId="77777777" w:rsidR="005E7A17" w:rsidRDefault="00505045">
            <w:pPr>
              <w:pStyle w:val="Compact"/>
            </w:pPr>
            <w:r>
              <w:t>H15 Zdroje energie</w:t>
            </w:r>
          </w:p>
        </w:tc>
        <w:tc>
          <w:tcPr>
            <w:tcW w:w="1077" w:type="dxa"/>
          </w:tcPr>
          <w:p w14:paraId="7BE24355" w14:textId="77777777" w:rsidR="005E7A17" w:rsidRDefault="00505045">
            <w:pPr>
              <w:pStyle w:val="Compact"/>
            </w:pPr>
            <w:r>
              <w:t>11</w:t>
            </w:r>
          </w:p>
        </w:tc>
        <w:tc>
          <w:tcPr>
            <w:tcW w:w="2598" w:type="dxa"/>
          </w:tcPr>
          <w:p w14:paraId="7BE24356" w14:textId="77777777" w:rsidR="005E7A17" w:rsidRDefault="00505045">
            <w:pPr>
              <w:pStyle w:val="Compact"/>
            </w:pPr>
            <w:r>
              <w:t>srovnávací historie, V-Dem</w:t>
            </w:r>
          </w:p>
        </w:tc>
        <w:tc>
          <w:tcPr>
            <w:tcW w:w="1899" w:type="dxa"/>
          </w:tcPr>
          <w:p w14:paraId="7BE24357" w14:textId="77777777" w:rsidR="005E7A17" w:rsidRDefault="00505045">
            <w:pPr>
              <w:pStyle w:val="Compact"/>
            </w:pPr>
            <w:r>
              <w:t>netestováno</w:t>
            </w:r>
          </w:p>
        </w:tc>
      </w:tr>
      <w:tr w:rsidR="005E7A17" w14:paraId="7BE2435D" w14:textId="77777777" w:rsidTr="005E7A17">
        <w:tc>
          <w:tcPr>
            <w:tcW w:w="3497" w:type="dxa"/>
          </w:tcPr>
          <w:p w14:paraId="7BE24359" w14:textId="77777777" w:rsidR="005E7A17" w:rsidRDefault="00505045">
            <w:pPr>
              <w:pStyle w:val="Compact"/>
            </w:pPr>
            <w:r>
              <w:t>H16 Nejslabší článek</w:t>
            </w:r>
          </w:p>
        </w:tc>
        <w:tc>
          <w:tcPr>
            <w:tcW w:w="1077" w:type="dxa"/>
          </w:tcPr>
          <w:p w14:paraId="7BE2435A" w14:textId="77777777" w:rsidR="005E7A17" w:rsidRDefault="00505045">
            <w:pPr>
              <w:pStyle w:val="Compact"/>
            </w:pPr>
            <w:r>
              <w:t>9.1</w:t>
            </w:r>
          </w:p>
        </w:tc>
        <w:tc>
          <w:tcPr>
            <w:tcW w:w="2598" w:type="dxa"/>
          </w:tcPr>
          <w:p w14:paraId="7BE2435B" w14:textId="77777777" w:rsidR="005E7A17" w:rsidRDefault="00505045">
            <w:pPr>
              <w:pStyle w:val="Compact"/>
            </w:pPr>
            <w:r>
              <w:t>ParlGov, databáze modelu</w:t>
            </w:r>
          </w:p>
        </w:tc>
        <w:tc>
          <w:tcPr>
            <w:tcW w:w="1899" w:type="dxa"/>
          </w:tcPr>
          <w:p w14:paraId="7BE2435C" w14:textId="77777777" w:rsidR="005E7A17" w:rsidRDefault="00505045">
            <w:pPr>
              <w:pStyle w:val="Compact"/>
            </w:pPr>
            <w:r>
              <w:t>předběžně potvrzeno</w:t>
            </w:r>
          </w:p>
        </w:tc>
      </w:tr>
      <w:tr w:rsidR="005E7A17" w14:paraId="7BE24362" w14:textId="77777777" w:rsidTr="005E7A17">
        <w:tc>
          <w:tcPr>
            <w:tcW w:w="3497" w:type="dxa"/>
          </w:tcPr>
          <w:p w14:paraId="7BE2435E" w14:textId="77777777" w:rsidR="005E7A17" w:rsidRDefault="00505045">
            <w:pPr>
              <w:pStyle w:val="Compact"/>
            </w:pPr>
            <w:r>
              <w:t>H17 Klíčová osa</w:t>
            </w:r>
          </w:p>
        </w:tc>
        <w:tc>
          <w:tcPr>
            <w:tcW w:w="1077" w:type="dxa"/>
          </w:tcPr>
          <w:p w14:paraId="7BE2435F" w14:textId="77777777" w:rsidR="005E7A17" w:rsidRDefault="00505045">
            <w:pPr>
              <w:pStyle w:val="Compact"/>
            </w:pPr>
            <w:r>
              <w:t>9.1</w:t>
            </w:r>
          </w:p>
        </w:tc>
        <w:tc>
          <w:tcPr>
            <w:tcW w:w="2598" w:type="dxa"/>
          </w:tcPr>
          <w:p w14:paraId="7BE24360" w14:textId="77777777" w:rsidR="005E7A17" w:rsidRDefault="00505045">
            <w:pPr>
              <w:pStyle w:val="Compact"/>
            </w:pPr>
            <w:r>
              <w:t>ParlGov, databáze modelu</w:t>
            </w:r>
          </w:p>
        </w:tc>
        <w:tc>
          <w:tcPr>
            <w:tcW w:w="1899" w:type="dxa"/>
          </w:tcPr>
          <w:p w14:paraId="7BE24361" w14:textId="77777777" w:rsidR="005E7A17" w:rsidRDefault="00505045">
            <w:pPr>
              <w:pStyle w:val="Compact"/>
            </w:pPr>
            <w:r>
              <w:t>částečně testováno</w:t>
            </w:r>
          </w:p>
        </w:tc>
      </w:tr>
      <w:tr w:rsidR="005E7A17" w14:paraId="7BE24367" w14:textId="77777777" w:rsidTr="005E7A17">
        <w:tc>
          <w:tcPr>
            <w:tcW w:w="3497" w:type="dxa"/>
          </w:tcPr>
          <w:p w14:paraId="7BE24363" w14:textId="77777777" w:rsidR="005E7A17" w:rsidRDefault="00505045">
            <w:pPr>
              <w:pStyle w:val="Compact"/>
            </w:pPr>
            <w:r>
              <w:t>H18 Flexibilita jednoosých stran</w:t>
            </w:r>
          </w:p>
        </w:tc>
        <w:tc>
          <w:tcPr>
            <w:tcW w:w="1077" w:type="dxa"/>
          </w:tcPr>
          <w:p w14:paraId="7BE24364" w14:textId="77777777" w:rsidR="005E7A17" w:rsidRDefault="00505045">
            <w:pPr>
              <w:pStyle w:val="Compact"/>
            </w:pPr>
            <w:r>
              <w:t>9.1</w:t>
            </w:r>
          </w:p>
        </w:tc>
        <w:tc>
          <w:tcPr>
            <w:tcW w:w="2598" w:type="dxa"/>
          </w:tcPr>
          <w:p w14:paraId="7BE24365" w14:textId="77777777" w:rsidR="005E7A17" w:rsidRDefault="00505045">
            <w:pPr>
              <w:pStyle w:val="Compact"/>
            </w:pPr>
            <w:r>
              <w:t>ParlGov, databáze modelu</w:t>
            </w:r>
          </w:p>
        </w:tc>
        <w:tc>
          <w:tcPr>
            <w:tcW w:w="1899" w:type="dxa"/>
          </w:tcPr>
          <w:p w14:paraId="7BE24366" w14:textId="77777777" w:rsidR="005E7A17" w:rsidRDefault="00505045">
            <w:pPr>
              <w:pStyle w:val="Compact"/>
            </w:pPr>
            <w:r>
              <w:t>předběžně podpořeno</w:t>
            </w:r>
          </w:p>
        </w:tc>
      </w:tr>
      <w:tr w:rsidR="005E7A17" w14:paraId="7BE2436C" w14:textId="77777777" w:rsidTr="005E7A17">
        <w:tc>
          <w:tcPr>
            <w:tcW w:w="3497" w:type="dxa"/>
          </w:tcPr>
          <w:p w14:paraId="7BE24368" w14:textId="77777777" w:rsidR="005E7A17" w:rsidRDefault="00505045">
            <w:pPr>
              <w:pStyle w:val="Compact"/>
            </w:pPr>
            <w:r>
              <w:t>H19 Subjekty mimo definiční obor</w:t>
            </w:r>
          </w:p>
        </w:tc>
        <w:tc>
          <w:tcPr>
            <w:tcW w:w="1077" w:type="dxa"/>
          </w:tcPr>
          <w:p w14:paraId="7BE24369" w14:textId="77777777" w:rsidR="005E7A17" w:rsidRDefault="00505045">
            <w:pPr>
              <w:pStyle w:val="Compact"/>
            </w:pPr>
            <w:r>
              <w:t>9.4, 9.5</w:t>
            </w:r>
          </w:p>
        </w:tc>
        <w:tc>
          <w:tcPr>
            <w:tcW w:w="2598" w:type="dxa"/>
          </w:tcPr>
          <w:p w14:paraId="7BE2436A" w14:textId="77777777" w:rsidR="005E7A17" w:rsidRDefault="00505045">
            <w:pPr>
              <w:pStyle w:val="Compact"/>
            </w:pPr>
            <w:r>
              <w:t>ParlGov, databáze modelu</w:t>
            </w:r>
          </w:p>
        </w:tc>
        <w:tc>
          <w:tcPr>
            <w:tcW w:w="1899" w:type="dxa"/>
          </w:tcPr>
          <w:p w14:paraId="7BE2436B" w14:textId="77777777" w:rsidR="005E7A17" w:rsidRDefault="00505045">
            <w:pPr>
              <w:pStyle w:val="Compact"/>
            </w:pPr>
            <w:r>
              <w:t>netestováno</w:t>
            </w:r>
          </w:p>
        </w:tc>
      </w:tr>
    </w:tbl>
    <w:p w14:paraId="7BE2436D" w14:textId="77777777" w:rsidR="005E7A17" w:rsidRDefault="00505045">
      <w:pPr>
        <w:pStyle w:val="Nadpis2"/>
      </w:pPr>
      <w:bookmarkStart w:id="72" w:name="pořadí-ověřování"/>
      <w:bookmarkEnd w:id="71"/>
      <w:r>
        <w:t>12.7 Pořadí ověřování</w:t>
      </w:r>
    </w:p>
    <w:p w14:paraId="7BE2436E" w14:textId="7B03DC7C" w:rsidR="005E7A17" w:rsidRDefault="00505045">
      <w:pPr>
        <w:pStyle w:val="FirstParagraph"/>
      </w:pPr>
      <w:r>
        <w:t>Hypotézy nejsou stejně naléhavé. Nejdříve je třeba ověřit H1, protože na rozlišitelnosti tří dimenzí stojí celý model; bez ní ztrácejí ostatní hypotézy smysl. Druhou prioritou je skupina H5 až H7, protože předpoklad o vztahu stran a voličů rozhoduje o tom, zda lze volební výsledky vůbec číst jako měřicí přístroj hodnot společnosti. Třetí prioritou je H10 a H11, tedy jádro dynamické části modelu, které zároveň nese jeho hlavní praktický přínos: rozpoznat posun k autoritativnímu obratu dříve, než se projeví v</w:t>
      </w:r>
      <w:r>
        <w:t xml:space="preserve"> institucích. Koaliční hypotézy H16 až H19 jsou samostatně publikovatelný celek a lze je ověřovat nezávisle na zbytku.</w:t>
      </w:r>
      <w:bookmarkEnd w:id="65"/>
      <w:bookmarkEnd w:id="72"/>
      <w:r w:rsidR="00443B6C">
        <w:t xml:space="preserve"> Hypotézy 20 a 21 vyplynuly</w:t>
      </w:r>
      <w:r w:rsidR="00556009">
        <w:t xml:space="preserve"> z diskuse o hyperproceduralismu</w:t>
      </w:r>
      <w:r w:rsidR="00394D14">
        <w:t xml:space="preserve"> a jejich ověření je </w:t>
      </w:r>
      <w:r w:rsidR="00A17262">
        <w:t>až na posledním místě.</w:t>
      </w:r>
    </w:p>
    <w:sectPr w:rsidR="005E7A17">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AE657" w14:textId="77777777" w:rsidR="00505045" w:rsidRDefault="00505045">
      <w:pPr>
        <w:spacing w:after="0"/>
      </w:pPr>
      <w:r>
        <w:separator/>
      </w:r>
    </w:p>
  </w:endnote>
  <w:endnote w:type="continuationSeparator" w:id="0">
    <w:p w14:paraId="236A4F91" w14:textId="77777777" w:rsidR="00505045" w:rsidRDefault="005050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8DEF" w14:textId="77777777" w:rsidR="00505045" w:rsidRDefault="00505045">
      <w:r>
        <w:separator/>
      </w:r>
    </w:p>
  </w:footnote>
  <w:footnote w:type="continuationSeparator" w:id="0">
    <w:p w14:paraId="3DE51015" w14:textId="77777777" w:rsidR="00505045" w:rsidRDefault="00505045">
      <w:r>
        <w:continuationSeparator/>
      </w:r>
    </w:p>
  </w:footnote>
  <w:footnote w:id="1">
    <w:p w14:paraId="7BE24377" w14:textId="77777777" w:rsidR="005E7A17" w:rsidRDefault="00505045">
      <w:pPr>
        <w:pStyle w:val="Textpoznpodarou"/>
      </w:pPr>
      <w:r>
        <w:rPr>
          <w:rStyle w:val="Znakapoznpodarou"/>
        </w:rPr>
        <w:footnoteRef/>
      </w:r>
      <w:r>
        <w:t xml:space="preserve"> Lipset, S. M. a Rokkan, S. Party Systems and Voter Alignments: Cross-National Perspectives. New York: Free Press, 1967.</w:t>
      </w:r>
    </w:p>
  </w:footnote>
  <w:footnote w:id="2">
    <w:p w14:paraId="7BE24378" w14:textId="77777777" w:rsidR="005E7A17" w:rsidRDefault="00505045">
      <w:pPr>
        <w:pStyle w:val="Textpoznpodarou"/>
      </w:pPr>
      <w:r>
        <w:rPr>
          <w:rStyle w:val="Znakapoznpodarou"/>
        </w:rPr>
        <w:footnoteRef/>
      </w:r>
      <w:r>
        <w:t xml:space="preserve"> Nolan, D. "The Case for a Libertarian Political Spectrum." Libertarian Review, 1971.</w:t>
      </w:r>
    </w:p>
  </w:footnote>
  <w:footnote w:id="3">
    <w:p w14:paraId="7BE24379" w14:textId="77777777" w:rsidR="005E7A17" w:rsidRDefault="00505045">
      <w:pPr>
        <w:pStyle w:val="Textpoznpodarou"/>
      </w:pPr>
      <w:r>
        <w:rPr>
          <w:rStyle w:val="Znakapoznpodarou"/>
        </w:rPr>
        <w:footnoteRef/>
      </w:r>
      <w:r>
        <w:t xml:space="preserve"> Kriesi, H. et al. "Globalization and the Transformation of the National Political Space." European Journal of Political Research 45, 2006.</w:t>
      </w:r>
    </w:p>
  </w:footnote>
  <w:footnote w:id="4">
    <w:p w14:paraId="7BE2437A" w14:textId="77777777" w:rsidR="005E7A17" w:rsidRDefault="00505045">
      <w:pPr>
        <w:pStyle w:val="Textpoznpodarou"/>
      </w:pPr>
      <w:r>
        <w:rPr>
          <w:rStyle w:val="Znakapoznpodarou"/>
        </w:rPr>
        <w:footnoteRef/>
      </w:r>
      <w:r>
        <w:t xml:space="preserve"> </w:t>
      </w:r>
      <w:r>
        <w:t>Inglehart, R. a Welzel, C. Modernization, Cultural Change, and Democracy: The Human Development Sequence. Cambridge: Cambridge University Press, 2005.</w:t>
      </w:r>
    </w:p>
  </w:footnote>
  <w:footnote w:id="5">
    <w:p w14:paraId="7BE2437B" w14:textId="77777777" w:rsidR="005E7A17" w:rsidRDefault="00505045">
      <w:pPr>
        <w:pStyle w:val="Textpoznpodarou"/>
      </w:pPr>
      <w:r>
        <w:rPr>
          <w:rStyle w:val="Znakapoznpodarou"/>
        </w:rPr>
        <w:footnoteRef/>
      </w:r>
      <w:r>
        <w:t xml:space="preserve"> Montesquieu, Ch. de. De l'esprit des lois [Duch zákonů]. 1748.</w:t>
      </w:r>
    </w:p>
  </w:footnote>
  <w:footnote w:id="6">
    <w:p w14:paraId="7BE2437C" w14:textId="77777777" w:rsidR="005E7A17" w:rsidRDefault="00505045">
      <w:pPr>
        <w:pStyle w:val="Textpoznpodarou"/>
      </w:pPr>
      <w:r>
        <w:rPr>
          <w:rStyle w:val="Znakapoznpodarou"/>
        </w:rPr>
        <w:footnoteRef/>
      </w:r>
      <w:r>
        <w:t xml:space="preserve"> Lipset a Rokkan, Party Systems and Voter Alignments, 1967.</w:t>
      </w:r>
    </w:p>
  </w:footnote>
  <w:footnote w:id="7">
    <w:p w14:paraId="7BE2437D" w14:textId="77777777" w:rsidR="005E7A17" w:rsidRDefault="00505045">
      <w:pPr>
        <w:pStyle w:val="Textpoznpodarou"/>
      </w:pPr>
      <w:r>
        <w:rPr>
          <w:rStyle w:val="Znakapoznpodarou"/>
        </w:rPr>
        <w:footnoteRef/>
      </w:r>
      <w:r>
        <w:t xml:space="preserve"> Nolan, "The Case for a Libertarian Political Spectrum", 1971.</w:t>
      </w:r>
    </w:p>
  </w:footnote>
  <w:footnote w:id="8">
    <w:p w14:paraId="7BE2437E" w14:textId="77777777" w:rsidR="005E7A17" w:rsidRDefault="00505045">
      <w:pPr>
        <w:pStyle w:val="Textpoznpodarou"/>
      </w:pPr>
      <w:r>
        <w:rPr>
          <w:rStyle w:val="Znakapoznpodarou"/>
        </w:rPr>
        <w:footnoteRef/>
      </w:r>
      <w:r>
        <w:t xml:space="preserve"> Kriesi et al., "Globalization and the Transformation of the National Political Space", 2006.</w:t>
      </w:r>
    </w:p>
  </w:footnote>
  <w:footnote w:id="9">
    <w:p w14:paraId="7BE2437F" w14:textId="77777777" w:rsidR="005E7A17" w:rsidRDefault="00505045">
      <w:pPr>
        <w:pStyle w:val="Textpoznpodarou"/>
      </w:pPr>
      <w:r>
        <w:rPr>
          <w:rStyle w:val="Znakapoznpodarou"/>
        </w:rPr>
        <w:footnoteRef/>
      </w:r>
      <w:r>
        <w:t xml:space="preserve"> Inglehart a Welzel, Modernization, Cultural Change, and Democracy, 2005.</w:t>
      </w:r>
    </w:p>
  </w:footnote>
  <w:footnote w:id="10">
    <w:p w14:paraId="7BE24380" w14:textId="77777777" w:rsidR="005E7A17" w:rsidRDefault="00505045">
      <w:pPr>
        <w:pStyle w:val="Textpoznpodarou"/>
      </w:pPr>
      <w:r>
        <w:rPr>
          <w:rStyle w:val="Znakapoznpodarou"/>
        </w:rPr>
        <w:footnoteRef/>
      </w:r>
      <w:r>
        <w:t xml:space="preserve"> Kitschelt, H. The Transformation of European Social Democracy. Cambridge: Cambridge University Press, 1994.</w:t>
      </w:r>
    </w:p>
  </w:footnote>
  <w:footnote w:id="11">
    <w:p w14:paraId="7BE24381" w14:textId="77777777" w:rsidR="005E7A17" w:rsidRDefault="00505045">
      <w:pPr>
        <w:pStyle w:val="Textpoznpodarou"/>
      </w:pPr>
      <w:r>
        <w:rPr>
          <w:rStyle w:val="Znakapoznpodarou"/>
        </w:rPr>
        <w:footnoteRef/>
      </w:r>
      <w:r>
        <w:t xml:space="preserve"> Bakker, R. et al. "Measuring Party Positions in Europe: The Chapel Hill Expert Survey Trend File." Party Politics 21(1), 2015, s. 143–152.</w:t>
      </w:r>
    </w:p>
  </w:footnote>
  <w:footnote w:id="12">
    <w:p w14:paraId="7BE24382" w14:textId="77777777" w:rsidR="005E7A17" w:rsidRDefault="00505045">
      <w:pPr>
        <w:pStyle w:val="Textpoznpodarou"/>
      </w:pPr>
      <w:r>
        <w:rPr>
          <w:rStyle w:val="Znakapoznpodarou"/>
        </w:rPr>
        <w:footnoteRef/>
      </w:r>
      <w:r>
        <w:t xml:space="preserve"> Berlin, I. "Two Concepts of Liberty." In H. Hardy (ed.), Liberty. Oxford: Oxford University Press, 1958/2002.</w:t>
      </w:r>
    </w:p>
  </w:footnote>
  <w:footnote w:id="13">
    <w:p w14:paraId="7BE24383" w14:textId="77777777" w:rsidR="005E7A17" w:rsidRDefault="00505045">
      <w:pPr>
        <w:pStyle w:val="Textpoznpodarou"/>
      </w:pPr>
      <w:r>
        <w:rPr>
          <w:rStyle w:val="Znakapoznpodarou"/>
        </w:rPr>
        <w:footnoteRef/>
      </w:r>
      <w:r>
        <w:t xml:space="preserve"> MacCallum, G. C. "Negative and Positive Freedom." The Philosophical Review 76(3), 1967, s. 312–334.</w:t>
      </w:r>
    </w:p>
  </w:footnote>
  <w:footnote w:id="14">
    <w:p w14:paraId="7BE24384" w14:textId="77777777" w:rsidR="005E7A17" w:rsidRDefault="00505045">
      <w:pPr>
        <w:pStyle w:val="Textpoznpodarou"/>
      </w:pPr>
      <w:r>
        <w:rPr>
          <w:rStyle w:val="Znakapoznpodarou"/>
        </w:rPr>
        <w:footnoteRef/>
      </w:r>
      <w:r>
        <w:t xml:space="preserve"> </w:t>
      </w:r>
      <w:r>
        <w:t>Sen, A. Development as Freedom. Oxford: Oxford University Press, 1999.</w:t>
      </w:r>
    </w:p>
  </w:footnote>
  <w:footnote w:id="15">
    <w:p w14:paraId="7BE24385" w14:textId="77777777" w:rsidR="005E7A17" w:rsidRDefault="00505045">
      <w:pPr>
        <w:pStyle w:val="Textpoznpodarou"/>
      </w:pPr>
      <w:r>
        <w:rPr>
          <w:rStyle w:val="Znakapoznpodarou"/>
        </w:rPr>
        <w:footnoteRef/>
      </w:r>
      <w:r>
        <w:t xml:space="preserve"> Pettit, P. Republicanism: A Theory of Freedom and Government. Oxford: Oxford University Press, 1997.</w:t>
      </w:r>
    </w:p>
  </w:footnote>
  <w:footnote w:id="16">
    <w:p w14:paraId="7BE24386" w14:textId="77777777" w:rsidR="005E7A17" w:rsidRDefault="00505045">
      <w:pPr>
        <w:pStyle w:val="Textpoznpodarou"/>
      </w:pPr>
      <w:r>
        <w:rPr>
          <w:rStyle w:val="Znakapoznpodarou"/>
        </w:rPr>
        <w:footnoteRef/>
      </w:r>
      <w:r>
        <w:t xml:space="preserve"> Sen, A. "Cultural Liberty and Human Development." In UN Human Development Report 2004. New York: UNDP, 2004.</w:t>
      </w:r>
    </w:p>
  </w:footnote>
  <w:footnote w:id="17">
    <w:p w14:paraId="7BE24387" w14:textId="77777777" w:rsidR="005E7A17" w:rsidRDefault="00505045">
      <w:pPr>
        <w:pStyle w:val="Textpoznpodarou"/>
      </w:pPr>
      <w:r>
        <w:rPr>
          <w:rStyle w:val="Znakapoznpodarou"/>
        </w:rPr>
        <w:footnoteRef/>
      </w:r>
      <w:r>
        <w:t xml:space="preserve"> Dahl, R. A. </w:t>
      </w:r>
      <w:r>
        <w:rPr>
          <w:i/>
          <w:iCs/>
        </w:rPr>
        <w:t>Polyarchy: Participation and Opposition.</w:t>
      </w:r>
      <w:r>
        <w:t xml:space="preserve"> New Haven: Yale University Press, 1971.</w:t>
      </w:r>
    </w:p>
  </w:footnote>
  <w:footnote w:id="18">
    <w:p w14:paraId="7BE24388" w14:textId="77777777" w:rsidR="005E7A17" w:rsidRDefault="00505045">
      <w:pPr>
        <w:pStyle w:val="Textpoznpodarou"/>
      </w:pPr>
      <w:r>
        <w:rPr>
          <w:rStyle w:val="Znakapoznpodarou"/>
        </w:rPr>
        <w:footnoteRef/>
      </w:r>
      <w:r>
        <w:t xml:space="preserve"> Arendt, H. </w:t>
      </w:r>
      <w:r>
        <w:rPr>
          <w:i/>
          <w:iCs/>
        </w:rPr>
        <w:t>The Origins of Totalitarianism</w:t>
      </w:r>
      <w:r>
        <w:t>. New York: Harcourt, Brace and Company, 1951.</w:t>
      </w:r>
    </w:p>
  </w:footnote>
  <w:footnote w:id="19">
    <w:p w14:paraId="0CF7896D" w14:textId="26D1D51F" w:rsidR="002603EA" w:rsidRDefault="002603EA">
      <w:pPr>
        <w:pStyle w:val="Textpoznpodarou"/>
      </w:pPr>
      <w:r>
        <w:rPr>
          <w:rStyle w:val="Znakapoznpodarou"/>
        </w:rPr>
        <w:footnoteRef/>
      </w:r>
      <w:r>
        <w:t xml:space="preserve"> </w:t>
      </w:r>
      <w:r w:rsidR="00540F0F" w:rsidRPr="00540F0F">
        <w:t xml:space="preserve">Sandel, M. J. „The Procedural Republic and the Unencumbered Self.“ </w:t>
      </w:r>
      <w:r w:rsidR="00540F0F" w:rsidRPr="00540F0F">
        <w:rPr>
          <w:i/>
          <w:iCs/>
        </w:rPr>
        <w:t>Political Theory</w:t>
      </w:r>
      <w:r w:rsidR="00540F0F" w:rsidRPr="00540F0F">
        <w:t xml:space="preserve"> 12, č. 1 (1984), s. 81–96; týž, </w:t>
      </w:r>
      <w:r w:rsidR="00540F0F" w:rsidRPr="00540F0F">
        <w:rPr>
          <w:i/>
          <w:iCs/>
        </w:rPr>
        <w:t>Democracy's Discontent: America in Search of a Public Philosophy</w:t>
      </w:r>
      <w:r w:rsidR="00540F0F" w:rsidRPr="00540F0F">
        <w:t>. Cambridge, MA: Harvard University Press, 1996.</w:t>
      </w:r>
    </w:p>
  </w:footnote>
  <w:footnote w:id="20">
    <w:p w14:paraId="5B2EB0A5" w14:textId="7BC418B8" w:rsidR="00B31D2C" w:rsidRDefault="00B31D2C">
      <w:pPr>
        <w:pStyle w:val="Textpoznpodarou"/>
      </w:pPr>
      <w:r>
        <w:rPr>
          <w:rStyle w:val="Znakapoznpodarou"/>
        </w:rPr>
        <w:footnoteRef/>
      </w:r>
      <w:r>
        <w:t xml:space="preserve"> </w:t>
      </w:r>
      <w:r w:rsidRPr="00B31D2C">
        <w:t xml:space="preserve">Loewenstein, K. „Militant Democracy and Fundamental Rights, I.“ </w:t>
      </w:r>
      <w:r w:rsidRPr="00B31D2C">
        <w:rPr>
          <w:i/>
          <w:iCs/>
        </w:rPr>
        <w:t>American Political Science Review</w:t>
      </w:r>
      <w:r w:rsidRPr="00B31D2C">
        <w:t xml:space="preserve"> 31, č. 3 (1937), s. 417–432.</w:t>
      </w:r>
    </w:p>
  </w:footnote>
  <w:footnote w:id="21">
    <w:p w14:paraId="7BE24389" w14:textId="77777777" w:rsidR="005E7A17" w:rsidRDefault="00505045">
      <w:pPr>
        <w:pStyle w:val="Textpoznpodarou"/>
      </w:pPr>
      <w:r>
        <w:rPr>
          <w:rStyle w:val="Znakapoznpodarou"/>
        </w:rPr>
        <w:footnoteRef/>
      </w:r>
      <w:r>
        <w:t xml:space="preserve"> </w:t>
      </w:r>
      <w:r>
        <w:t>Tajfel, H. a Turner, J. C. "An Integrative Theory of Intergroup Conflict." In W. G. Austin a S. Worchel (eds.), The Social Psychology of Intergroup Relations. Monterey: Brooks/Cole, 1979.</w:t>
      </w:r>
    </w:p>
  </w:footnote>
  <w:footnote w:id="22">
    <w:p w14:paraId="7BE2438A" w14:textId="77777777" w:rsidR="005E7A17" w:rsidRDefault="00505045">
      <w:pPr>
        <w:pStyle w:val="Textpoznpodarou"/>
      </w:pPr>
      <w:r>
        <w:rPr>
          <w:rStyle w:val="Znakapoznpodarou"/>
        </w:rPr>
        <w:footnoteRef/>
      </w:r>
      <w:r>
        <w:t xml:space="preserve"> Montesquieu, De l'esprit des lois, 1748.</w:t>
      </w:r>
    </w:p>
  </w:footnote>
  <w:footnote w:id="23">
    <w:p w14:paraId="7BE2438B" w14:textId="77777777" w:rsidR="005E7A17" w:rsidRDefault="00505045">
      <w:pPr>
        <w:pStyle w:val="Textpoznpodarou"/>
      </w:pPr>
      <w:r>
        <w:rPr>
          <w:rStyle w:val="Znakapoznpodarou"/>
        </w:rPr>
        <w:footnoteRef/>
      </w:r>
      <w:r>
        <w:t xml:space="preserve"> Almond, G. a Verba, S. The Civic Culture: Political Attitudes and Democracy in Five Nations. Princeton: Princeton University Press, 1963.</w:t>
      </w:r>
    </w:p>
  </w:footnote>
  <w:footnote w:id="24">
    <w:p w14:paraId="7BE2438D" w14:textId="77777777" w:rsidR="005E7A17" w:rsidRDefault="00505045">
      <w:pPr>
        <w:pStyle w:val="Textpoznpodarou"/>
      </w:pPr>
      <w:r>
        <w:rPr>
          <w:rStyle w:val="Znakapoznpodarou"/>
        </w:rPr>
        <w:footnoteRef/>
      </w:r>
      <w:r>
        <w:t xml:space="preserve"> </w:t>
      </w:r>
      <w:r>
        <w:t>Putnam, R. D. Bowling Alone: The Collapse and Revival of American Community. New York: Simon &amp; Schuster, 2000.</w:t>
      </w:r>
    </w:p>
  </w:footnote>
  <w:footnote w:id="25">
    <w:p w14:paraId="7BE2438E" w14:textId="77777777" w:rsidR="005E7A17" w:rsidRDefault="00505045">
      <w:pPr>
        <w:pStyle w:val="Textpoznpodarou"/>
      </w:pPr>
      <w:r>
        <w:rPr>
          <w:rStyle w:val="Znakapoznpodarou"/>
        </w:rPr>
        <w:footnoteRef/>
      </w:r>
      <w:r>
        <w:t xml:space="preserve"> Inglehart a Welzel, Modernization, Cultural Change, and Democracy, 2005.</w:t>
      </w:r>
    </w:p>
  </w:footnote>
  <w:footnote w:id="26">
    <w:p w14:paraId="7BE2438F" w14:textId="77777777" w:rsidR="005E7A17" w:rsidRDefault="00505045">
      <w:pPr>
        <w:pStyle w:val="Textpoznpodarou"/>
      </w:pPr>
      <w:r>
        <w:rPr>
          <w:rStyle w:val="Znakapoznpodarou"/>
        </w:rPr>
        <w:footnoteRef/>
      </w:r>
      <w:r>
        <w:t xml:space="preserve"> Dahrendorf, R. Reflections on the Revolution in Europe. London: Chatto &amp; Windus, 1990 (formule „šest měsíců, šest let, šedesát let”).</w:t>
      </w:r>
    </w:p>
  </w:footnote>
  <w:footnote w:id="27">
    <w:p w14:paraId="7BE24390" w14:textId="77777777" w:rsidR="005E7A17" w:rsidRDefault="00505045">
      <w:pPr>
        <w:pStyle w:val="Textpoznpodarou"/>
      </w:pPr>
      <w:r>
        <w:rPr>
          <w:rStyle w:val="Znakapoznpodarou"/>
        </w:rPr>
        <w:footnoteRef/>
      </w:r>
      <w:r>
        <w:t xml:space="preserve"> Lipset a Rokkan, Party Systems and Voter Alignments, 1967.</w:t>
      </w:r>
    </w:p>
  </w:footnote>
  <w:footnote w:id="28">
    <w:p w14:paraId="7BE24391" w14:textId="77777777" w:rsidR="005E7A17" w:rsidRDefault="00505045">
      <w:pPr>
        <w:pStyle w:val="Textpoznpodarou"/>
      </w:pPr>
      <w:r>
        <w:rPr>
          <w:rStyle w:val="Znakapoznpodarou"/>
        </w:rPr>
        <w:footnoteRef/>
      </w:r>
      <w:r>
        <w:t xml:space="preserve"> Bartolini a Mair, Identity, Competition, and Electoral Availability, 1990.</w:t>
      </w:r>
    </w:p>
  </w:footnote>
  <w:footnote w:id="29">
    <w:p w14:paraId="7BE24392" w14:textId="77777777" w:rsidR="005E7A17" w:rsidRDefault="00505045">
      <w:pPr>
        <w:pStyle w:val="Textpoznpodarou"/>
      </w:pPr>
      <w:r>
        <w:rPr>
          <w:rStyle w:val="Znakapoznpodarou"/>
        </w:rPr>
        <w:footnoteRef/>
      </w:r>
      <w:r>
        <w:t xml:space="preserve"> </w:t>
      </w:r>
      <w:r>
        <w:t>Bartolini a Mair, Identity, Competition, and Electoral Availability, 1990, kap. 6 (normativní složka štěpení): "set of values and beliefs which provides a sense of identity ... and which reflect the self-consciousness of the social group(s) involved."</w:t>
      </w:r>
    </w:p>
  </w:footnote>
  <w:footnote w:id="30">
    <w:p w14:paraId="7BE24393" w14:textId="77777777" w:rsidR="005E7A17" w:rsidRDefault="00505045">
      <w:pPr>
        <w:pStyle w:val="Textpoznpodarou"/>
      </w:pPr>
      <w:r>
        <w:rPr>
          <w:rStyle w:val="Znakapoznpodarou"/>
        </w:rPr>
        <w:footnoteRef/>
      </w:r>
      <w:r>
        <w:t xml:space="preserve"> Bartolini a Mair, Identity, Competition, and Electoral Availability, 1990, kap. 6 (organizační složka štěpení): "the set of individual interactions, institutions, and organizations, such as political parties, which develop as part of the cleavage."</w:t>
      </w:r>
    </w:p>
  </w:footnote>
  <w:footnote w:id="31">
    <w:p w14:paraId="7BE24394" w14:textId="77777777" w:rsidR="005E7A17" w:rsidRDefault="00505045">
      <w:pPr>
        <w:pStyle w:val="Textpoznpodarou"/>
      </w:pPr>
      <w:r>
        <w:rPr>
          <w:rStyle w:val="Znakapoznpodarou"/>
        </w:rPr>
        <w:footnoteRef/>
      </w:r>
      <w:r>
        <w:t xml:space="preserve"> </w:t>
      </w:r>
      <w:r>
        <w:t>Hooghe, L. a Marks, G. "How Does the Education Cleavage Stack Up Against the Classic Cleavages of the Past?" West European Politics (přijato k publikaci v prosinci 2024, vychází 2025).</w:t>
      </w:r>
    </w:p>
  </w:footnote>
  <w:footnote w:id="32">
    <w:p w14:paraId="7BE24395" w14:textId="77777777" w:rsidR="005E7A17" w:rsidRDefault="00505045">
      <w:pPr>
        <w:pStyle w:val="Textpoznpodarou"/>
      </w:pPr>
      <w:r>
        <w:rPr>
          <w:rStyle w:val="Znakapoznpodarou"/>
        </w:rPr>
        <w:footnoteRef/>
      </w:r>
      <w:r>
        <w:t xml:space="preserve"> Lipset a Rokkan, Party Systems and Voter Alignments, 1967.</w:t>
      </w:r>
    </w:p>
  </w:footnote>
  <w:footnote w:id="33">
    <w:p w14:paraId="7BE24396" w14:textId="77777777" w:rsidR="005E7A17" w:rsidRDefault="00505045">
      <w:pPr>
        <w:pStyle w:val="Textpoznpodarou"/>
      </w:pPr>
      <w:r>
        <w:rPr>
          <w:rStyle w:val="Znakapoznpodarou"/>
        </w:rPr>
        <w:footnoteRef/>
      </w:r>
      <w:r>
        <w:t xml:space="preserve"> Weber, M. Die protestantische Ethik und der Geist des Kapitalismus. Tübingen: Mohr Siebeck, 1904–1905/1930.</w:t>
      </w:r>
    </w:p>
  </w:footnote>
  <w:footnote w:id="34">
    <w:p w14:paraId="7BE24397" w14:textId="77777777" w:rsidR="005E7A17" w:rsidRDefault="00505045">
      <w:pPr>
        <w:pStyle w:val="Textpoznpodarou"/>
      </w:pPr>
      <w:r>
        <w:rPr>
          <w:rStyle w:val="Znakapoznpodarou"/>
        </w:rPr>
        <w:footnoteRef/>
      </w:r>
      <w:r>
        <w:t xml:space="preserve"> Moore, B., Jr. Social Origins of Dictatorship and Democracy: Lord and Peasant in the Making of the Modern World. Boston: Beacon Press, 1966.</w:t>
      </w:r>
    </w:p>
  </w:footnote>
  <w:footnote w:id="35">
    <w:p w14:paraId="7BE24398" w14:textId="77777777" w:rsidR="005E7A17" w:rsidRDefault="00505045">
      <w:pPr>
        <w:pStyle w:val="Textpoznpodarou"/>
      </w:pPr>
      <w:r>
        <w:rPr>
          <w:rStyle w:val="Znakapoznpodarou"/>
        </w:rPr>
        <w:footnoteRef/>
      </w:r>
      <w:r>
        <w:t xml:space="preserve"> </w:t>
      </w:r>
      <w:r>
        <w:t>Acemoglu, D. a Robinson, J. A. Why Nations Fail: The Origins of Power, Prosperity, and Poverty. New York: Crown Business, 2012.</w:t>
      </w:r>
    </w:p>
  </w:footnote>
  <w:footnote w:id="36">
    <w:p w14:paraId="7BE24399" w14:textId="77777777" w:rsidR="005E7A17" w:rsidRDefault="00505045">
      <w:pPr>
        <w:pStyle w:val="Textpoznpodarou"/>
      </w:pPr>
      <w:r>
        <w:rPr>
          <w:rStyle w:val="Znakapoznpodarou"/>
        </w:rPr>
        <w:footnoteRef/>
      </w:r>
      <w:r>
        <w:t xml:space="preserve"> Huntington, S. P. The Third Wave: Democratization in the Late Twentieth Century. Norman: University of Oklahoma Press, 1991.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B85B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7ED5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50486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341270D"/>
    <w:multiLevelType w:val="hybridMultilevel"/>
    <w:tmpl w:val="BFF80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3BA3D1B"/>
    <w:multiLevelType w:val="multilevel"/>
    <w:tmpl w:val="E24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5572">
    <w:abstractNumId w:val="0"/>
  </w:num>
  <w:num w:numId="2" w16cid:durableId="1565482794">
    <w:abstractNumId w:val="1"/>
  </w:num>
  <w:num w:numId="3" w16cid:durableId="2139830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66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0560302">
    <w:abstractNumId w:val="1"/>
  </w:num>
  <w:num w:numId="6" w16cid:durableId="1496455305">
    <w:abstractNumId w:val="1"/>
  </w:num>
  <w:num w:numId="7" w16cid:durableId="2012485567">
    <w:abstractNumId w:val="1"/>
  </w:num>
  <w:num w:numId="8" w16cid:durableId="1269896823">
    <w:abstractNumId w:val="1"/>
  </w:num>
  <w:num w:numId="9" w16cid:durableId="1500385991">
    <w:abstractNumId w:val="3"/>
  </w:num>
  <w:num w:numId="10" w16cid:durableId="26104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7A17"/>
    <w:rsid w:val="000025CB"/>
    <w:rsid w:val="0000407B"/>
    <w:rsid w:val="000122A0"/>
    <w:rsid w:val="000255D9"/>
    <w:rsid w:val="00026C1C"/>
    <w:rsid w:val="0004254D"/>
    <w:rsid w:val="00046065"/>
    <w:rsid w:val="0005590E"/>
    <w:rsid w:val="000572A6"/>
    <w:rsid w:val="00057B0C"/>
    <w:rsid w:val="00067885"/>
    <w:rsid w:val="000807DA"/>
    <w:rsid w:val="00081280"/>
    <w:rsid w:val="000910B8"/>
    <w:rsid w:val="00096B6C"/>
    <w:rsid w:val="000C1582"/>
    <w:rsid w:val="000C5C6B"/>
    <w:rsid w:val="000D5C41"/>
    <w:rsid w:val="000D6FCF"/>
    <w:rsid w:val="000E78C1"/>
    <w:rsid w:val="00117152"/>
    <w:rsid w:val="00122E28"/>
    <w:rsid w:val="0012429D"/>
    <w:rsid w:val="001259EC"/>
    <w:rsid w:val="00132C6A"/>
    <w:rsid w:val="001372C9"/>
    <w:rsid w:val="00145B7A"/>
    <w:rsid w:val="00146F24"/>
    <w:rsid w:val="0018258D"/>
    <w:rsid w:val="00182920"/>
    <w:rsid w:val="001838AC"/>
    <w:rsid w:val="00191CC1"/>
    <w:rsid w:val="001925BF"/>
    <w:rsid w:val="001A6321"/>
    <w:rsid w:val="001A7909"/>
    <w:rsid w:val="001C713D"/>
    <w:rsid w:val="001E09F2"/>
    <w:rsid w:val="001E4271"/>
    <w:rsid w:val="001E4435"/>
    <w:rsid w:val="002026C2"/>
    <w:rsid w:val="00206CC4"/>
    <w:rsid w:val="002161F3"/>
    <w:rsid w:val="00216B87"/>
    <w:rsid w:val="00241123"/>
    <w:rsid w:val="0024129B"/>
    <w:rsid w:val="002603EA"/>
    <w:rsid w:val="00277A12"/>
    <w:rsid w:val="0028020D"/>
    <w:rsid w:val="00282614"/>
    <w:rsid w:val="00283AA5"/>
    <w:rsid w:val="00291BBF"/>
    <w:rsid w:val="0029707A"/>
    <w:rsid w:val="00297310"/>
    <w:rsid w:val="002B0C2D"/>
    <w:rsid w:val="002C1FAA"/>
    <w:rsid w:val="002C384B"/>
    <w:rsid w:val="002C6084"/>
    <w:rsid w:val="002D5918"/>
    <w:rsid w:val="002E4039"/>
    <w:rsid w:val="00310507"/>
    <w:rsid w:val="00315DD0"/>
    <w:rsid w:val="00340F00"/>
    <w:rsid w:val="00362825"/>
    <w:rsid w:val="00366A4B"/>
    <w:rsid w:val="00380DA0"/>
    <w:rsid w:val="003851F6"/>
    <w:rsid w:val="00394D14"/>
    <w:rsid w:val="00396EDE"/>
    <w:rsid w:val="003A24C6"/>
    <w:rsid w:val="003A2E47"/>
    <w:rsid w:val="003A64D5"/>
    <w:rsid w:val="003D3975"/>
    <w:rsid w:val="003D518D"/>
    <w:rsid w:val="003E509C"/>
    <w:rsid w:val="003F4EDE"/>
    <w:rsid w:val="0041205F"/>
    <w:rsid w:val="00414D7A"/>
    <w:rsid w:val="00426EA1"/>
    <w:rsid w:val="00435CF8"/>
    <w:rsid w:val="00443B6C"/>
    <w:rsid w:val="0045475C"/>
    <w:rsid w:val="00480E86"/>
    <w:rsid w:val="004868B7"/>
    <w:rsid w:val="004929A0"/>
    <w:rsid w:val="00493729"/>
    <w:rsid w:val="004C298A"/>
    <w:rsid w:val="004D116E"/>
    <w:rsid w:val="004D3F05"/>
    <w:rsid w:val="004E3DB8"/>
    <w:rsid w:val="00505045"/>
    <w:rsid w:val="00510164"/>
    <w:rsid w:val="00540F0F"/>
    <w:rsid w:val="00556009"/>
    <w:rsid w:val="00557E39"/>
    <w:rsid w:val="00562BB1"/>
    <w:rsid w:val="005967ED"/>
    <w:rsid w:val="005A001C"/>
    <w:rsid w:val="005A3E7C"/>
    <w:rsid w:val="005A7DFE"/>
    <w:rsid w:val="005B3EC0"/>
    <w:rsid w:val="005B4F36"/>
    <w:rsid w:val="005B7633"/>
    <w:rsid w:val="005C5E7D"/>
    <w:rsid w:val="005D4EA3"/>
    <w:rsid w:val="005E7A17"/>
    <w:rsid w:val="005F0A93"/>
    <w:rsid w:val="00600B21"/>
    <w:rsid w:val="00610C42"/>
    <w:rsid w:val="006235ED"/>
    <w:rsid w:val="00631333"/>
    <w:rsid w:val="00631F58"/>
    <w:rsid w:val="0063357B"/>
    <w:rsid w:val="0063690A"/>
    <w:rsid w:val="006644CD"/>
    <w:rsid w:val="00665FF5"/>
    <w:rsid w:val="00673634"/>
    <w:rsid w:val="00692B7F"/>
    <w:rsid w:val="006E09B7"/>
    <w:rsid w:val="00707AC5"/>
    <w:rsid w:val="00773D59"/>
    <w:rsid w:val="0077510C"/>
    <w:rsid w:val="00786CAF"/>
    <w:rsid w:val="007878D8"/>
    <w:rsid w:val="007924F7"/>
    <w:rsid w:val="007C2675"/>
    <w:rsid w:val="008120E2"/>
    <w:rsid w:val="00837C5A"/>
    <w:rsid w:val="00847125"/>
    <w:rsid w:val="00862129"/>
    <w:rsid w:val="008809DB"/>
    <w:rsid w:val="008A6544"/>
    <w:rsid w:val="008A7BD5"/>
    <w:rsid w:val="008C24A8"/>
    <w:rsid w:val="008D018B"/>
    <w:rsid w:val="00933354"/>
    <w:rsid w:val="00950E21"/>
    <w:rsid w:val="00981C43"/>
    <w:rsid w:val="0098774A"/>
    <w:rsid w:val="009920B5"/>
    <w:rsid w:val="009A0E81"/>
    <w:rsid w:val="009A36DA"/>
    <w:rsid w:val="009B65E8"/>
    <w:rsid w:val="00A17262"/>
    <w:rsid w:val="00A26896"/>
    <w:rsid w:val="00A43D35"/>
    <w:rsid w:val="00A559A7"/>
    <w:rsid w:val="00A80859"/>
    <w:rsid w:val="00A900A5"/>
    <w:rsid w:val="00A91F15"/>
    <w:rsid w:val="00AC151E"/>
    <w:rsid w:val="00AC6791"/>
    <w:rsid w:val="00AF6B8B"/>
    <w:rsid w:val="00B22466"/>
    <w:rsid w:val="00B31D2C"/>
    <w:rsid w:val="00B3456A"/>
    <w:rsid w:val="00B4588F"/>
    <w:rsid w:val="00B649C6"/>
    <w:rsid w:val="00B81200"/>
    <w:rsid w:val="00B85116"/>
    <w:rsid w:val="00B90D74"/>
    <w:rsid w:val="00BB555D"/>
    <w:rsid w:val="00BB7775"/>
    <w:rsid w:val="00BB7EAE"/>
    <w:rsid w:val="00C069D5"/>
    <w:rsid w:val="00C31EAA"/>
    <w:rsid w:val="00C363C4"/>
    <w:rsid w:val="00C408D7"/>
    <w:rsid w:val="00C6273B"/>
    <w:rsid w:val="00C71B84"/>
    <w:rsid w:val="00C77460"/>
    <w:rsid w:val="00C83B45"/>
    <w:rsid w:val="00CA1C8B"/>
    <w:rsid w:val="00CA6854"/>
    <w:rsid w:val="00CB17FA"/>
    <w:rsid w:val="00CF05BF"/>
    <w:rsid w:val="00CF405A"/>
    <w:rsid w:val="00D103EB"/>
    <w:rsid w:val="00D17132"/>
    <w:rsid w:val="00D3482F"/>
    <w:rsid w:val="00D40D45"/>
    <w:rsid w:val="00D82D72"/>
    <w:rsid w:val="00D85280"/>
    <w:rsid w:val="00DA3554"/>
    <w:rsid w:val="00DA47F6"/>
    <w:rsid w:val="00DB25CE"/>
    <w:rsid w:val="00DB5745"/>
    <w:rsid w:val="00DB7A4E"/>
    <w:rsid w:val="00DC0CDC"/>
    <w:rsid w:val="00DC1E4C"/>
    <w:rsid w:val="00DC5AF2"/>
    <w:rsid w:val="00DD4F4B"/>
    <w:rsid w:val="00DE40DB"/>
    <w:rsid w:val="00DF0F2D"/>
    <w:rsid w:val="00E159F1"/>
    <w:rsid w:val="00E201A0"/>
    <w:rsid w:val="00E50DD4"/>
    <w:rsid w:val="00E93BD0"/>
    <w:rsid w:val="00EA0F62"/>
    <w:rsid w:val="00ED4E37"/>
    <w:rsid w:val="00ED66FC"/>
    <w:rsid w:val="00ED7C19"/>
    <w:rsid w:val="00F00BA9"/>
    <w:rsid w:val="00F24A35"/>
    <w:rsid w:val="00F4535C"/>
    <w:rsid w:val="00F56B64"/>
    <w:rsid w:val="00FA1A0B"/>
    <w:rsid w:val="00FB3A56"/>
    <w:rsid w:val="00FD60E0"/>
    <w:rsid w:val="00FF6FD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418F"/>
  <w15:docId w15:val="{9AE6824F-B804-4AF3-AD1A-764D0B73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style>
  <w:style w:type="paragraph" w:styleId="Nadpis1">
    <w:name w:val="heading 1"/>
    <w:basedOn w:val="Normln"/>
    <w:next w:val="Zkladntext"/>
    <w:uiPriority w:val="9"/>
    <w:qFormat/>
    <w:pPr>
      <w:keepNext/>
      <w:keepLines/>
      <w:spacing w:before="480" w:after="0"/>
      <w:outlineLvl w:val="0"/>
    </w:pPr>
    <w:rPr>
      <w:b/>
      <w:bCs/>
      <w:color w:val="2E74B5"/>
      <w:sz w:val="32"/>
      <w:szCs w:val="32"/>
    </w:rPr>
  </w:style>
  <w:style w:type="paragraph" w:styleId="Nadpis2">
    <w:name w:val="heading 2"/>
    <w:basedOn w:val="Normln"/>
    <w:next w:val="Zkladntext"/>
    <w:uiPriority w:val="9"/>
    <w:unhideWhenUsed/>
    <w:qFormat/>
    <w:pPr>
      <w:keepNext/>
      <w:keepLines/>
      <w:spacing w:before="200" w:after="0"/>
      <w:outlineLvl w:val="1"/>
    </w:pPr>
    <w:rPr>
      <w:b/>
      <w:bCs/>
      <w:color w:val="2E74B5"/>
      <w:sz w:val="26"/>
      <w:szCs w:val="28"/>
    </w:rPr>
  </w:style>
  <w:style w:type="paragraph" w:styleId="Nadpis3">
    <w:name w:val="heading 3"/>
    <w:basedOn w:val="Normln"/>
    <w:next w:val="Zkladntext"/>
    <w:uiPriority w:val="9"/>
    <w:unhideWhenUsed/>
    <w:qFormat/>
    <w:pPr>
      <w:keepNext/>
      <w:keepLines/>
      <w:spacing w:before="200" w:after="0"/>
      <w:outlineLvl w:val="2"/>
    </w:pPr>
    <w:rPr>
      <w:b/>
      <w:bCs/>
      <w:color w:val="1F4D78"/>
      <w:sz w:val="24"/>
      <w:szCs w:val="24"/>
    </w:rPr>
  </w:style>
  <w:style w:type="paragraph" w:styleId="Nadpis4">
    <w:name w:val="heading 4"/>
    <w:basedOn w:val="Normln"/>
    <w:next w:val="Zkladntext"/>
    <w:uiPriority w:val="9"/>
    <w:unhideWhenUsed/>
    <w:qFormat/>
    <w:pPr>
      <w:keepNext/>
      <w:keepLines/>
      <w:spacing w:before="200" w:after="0"/>
      <w:outlineLvl w:val="3"/>
    </w:pPr>
    <w:rPr>
      <w:bCs/>
      <w:i/>
      <w:color w:val="4F81BD" w:themeColor="accent1"/>
      <w:sz w:val="24"/>
      <w:szCs w:val="24"/>
    </w:rPr>
  </w:style>
  <w:style w:type="paragraph" w:styleId="Nadpis5">
    <w:name w:val="heading 5"/>
    <w:basedOn w:val="Normln"/>
    <w:next w:val="Zkladntext"/>
    <w:uiPriority w:val="9"/>
    <w:unhideWhenUsed/>
    <w:qFormat/>
    <w:pPr>
      <w:keepNext/>
      <w:keepLines/>
      <w:spacing w:before="200" w:after="0"/>
      <w:outlineLvl w:val="4"/>
    </w:pPr>
    <w:rPr>
      <w:iCs/>
      <w:color w:val="4F81BD" w:themeColor="accent1"/>
      <w:sz w:val="24"/>
      <w:szCs w:val="24"/>
    </w:rPr>
  </w:style>
  <w:style w:type="paragraph" w:styleId="Nadpis6">
    <w:name w:val="heading 6"/>
    <w:basedOn w:val="Normln"/>
    <w:next w:val="Zkladntext"/>
    <w:uiPriority w:val="9"/>
    <w:unhideWhenUsed/>
    <w:qFormat/>
    <w:pPr>
      <w:keepNext/>
      <w:keepLines/>
      <w:spacing w:before="200" w:after="0"/>
      <w:outlineLvl w:val="5"/>
    </w:pPr>
    <w:rPr>
      <w:color w:val="4F81BD" w:themeColor="accent1"/>
      <w:sz w:val="24"/>
      <w:szCs w:val="24"/>
    </w:rPr>
  </w:style>
  <w:style w:type="paragraph" w:styleId="Nadpis7">
    <w:name w:val="heading 7"/>
    <w:basedOn w:val="Normln"/>
    <w:next w:val="Zkladntext"/>
    <w:uiPriority w:val="9"/>
    <w:unhideWhenUsed/>
    <w:qFormat/>
    <w:pPr>
      <w:keepNext/>
      <w:keepLines/>
      <w:spacing w:before="200" w:after="0"/>
      <w:outlineLvl w:val="6"/>
    </w:pPr>
    <w:rPr>
      <w:color w:val="4F81BD" w:themeColor="accent1"/>
      <w:sz w:val="24"/>
      <w:szCs w:val="24"/>
    </w:rPr>
  </w:style>
  <w:style w:type="paragraph" w:styleId="Nadpis8">
    <w:name w:val="heading 8"/>
    <w:basedOn w:val="Normln"/>
    <w:next w:val="Zkladntext"/>
    <w:uiPriority w:val="9"/>
    <w:unhideWhenUsed/>
    <w:qFormat/>
    <w:pPr>
      <w:keepNext/>
      <w:keepLines/>
      <w:spacing w:before="200" w:after="0"/>
      <w:outlineLvl w:val="7"/>
    </w:pPr>
    <w:rPr>
      <w:color w:val="4F81BD" w:themeColor="accent1"/>
      <w:sz w:val="24"/>
      <w:szCs w:val="24"/>
    </w:rPr>
  </w:style>
  <w:style w:type="paragraph" w:styleId="Nadpis9">
    <w:name w:val="heading 9"/>
    <w:basedOn w:val="Normln"/>
    <w:next w:val="Zkladntext"/>
    <w:uiPriority w:val="9"/>
    <w:unhideWhenUsed/>
    <w:qFormat/>
    <w:pPr>
      <w:keepNext/>
      <w:keepLines/>
      <w:spacing w:before="200" w:after="0"/>
      <w:outlineLvl w:val="8"/>
    </w:pPr>
    <w:rPr>
      <w:color w:val="4F81BD" w:themeColor="accent1"/>
      <w:sz w:val="24"/>
      <w:szCs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qFormat/>
    <w:pPr>
      <w:keepNext/>
      <w:keepLines/>
      <w:spacing w:before="480" w:after="240"/>
      <w:jc w:val="center"/>
    </w:pPr>
    <w:rPr>
      <w:b/>
      <w:bCs/>
      <w:color w:val="345A8A" w:themeColor="accent1" w:themeShade="B5"/>
      <w:sz w:val="36"/>
      <w:szCs w:val="36"/>
    </w:rPr>
  </w:style>
  <w:style w:type="paragraph" w:styleId="Podnadpis">
    <w:name w:val="Subtitle"/>
    <w:basedOn w:val="Nzev"/>
    <w:next w:val="Zkladntext"/>
    <w:qFormat/>
    <w:pPr>
      <w:spacing w:before="240"/>
    </w:pPr>
    <w:rPr>
      <w:sz w:val="30"/>
      <w:szCs w:val="30"/>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Title">
    <w:name w:val="Abstract Title"/>
    <w:basedOn w:val="Normln"/>
    <w:next w:val="Abstract"/>
    <w:qFormat/>
    <w:pPr>
      <w:keepNext/>
      <w:keepLines/>
      <w:spacing w:before="300" w:after="0"/>
      <w:jc w:val="center"/>
    </w:pPr>
    <w:rPr>
      <w:b/>
      <w:color w:val="345A8A"/>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4F81BD" w:themeColor="accent1"/>
    </w:rPr>
  </w:style>
  <w:style w:type="paragraph" w:styleId="Nadpisobsahu">
    <w:name w:val="TOC Heading"/>
    <w:basedOn w:val="Nadpis1"/>
    <w:next w:val="Zkladn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Nevyeenzmnka">
    <w:name w:val="Unresolved Mention"/>
    <w:basedOn w:val="Standardnpsmoodstavce"/>
    <w:uiPriority w:val="99"/>
    <w:semiHidden/>
    <w:unhideWhenUsed/>
    <w:rsid w:val="004E3DB8"/>
    <w:rPr>
      <w:color w:val="605E5C"/>
      <w:shd w:val="clear" w:color="auto" w:fill="E1DFDD"/>
    </w:rPr>
  </w:style>
  <w:style w:type="character" w:customStyle="1" w:styleId="ZkladntextChar">
    <w:name w:val="Základní text Char"/>
    <w:basedOn w:val="Standardnpsmoodstavce"/>
    <w:link w:val="Zkladntext"/>
    <w:rsid w:val="000C5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25216F38-D770-4E76-B0B6-4BE3F03CD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38</Pages>
  <Words>16453</Words>
  <Characters>97074</Characters>
  <Application>Microsoft Office Word</Application>
  <DocSecurity>0</DocSecurity>
  <Lines>808</Lines>
  <Paragraphs>226</Paragraphs>
  <ScaleCrop>false</ScaleCrop>
  <Company/>
  <LinksUpToDate>false</LinksUpToDate>
  <CharactersWithSpaces>113301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Jan Zapletal</cp:lastModifiedBy>
  <cp:revision>210</cp:revision>
  <dcterms:created xsi:type="dcterms:W3CDTF">2026-09-23T04:57:00Z</dcterms:created>
  <dcterms:modified xsi:type="dcterms:W3CDTF">2026-09-23T12:30:00Z</dcterms:modified>
</cp:coreProperties>
</file>