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Higher funding amounts in invasive neurotech, spray and prey in noninvasive.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reasoning behind the trend.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Neurotech Napkin</w:t>
      </w:r>
      <w:r w:rsidDel="00000000" w:rsidR="00000000" w:rsidRPr="00000000">
        <w:rPr>
          <w:rtl w:val="0"/>
        </w:rPr>
        <w:t xml:space="preserve"> — catchall, weekly two page reader, keep you thinking, for laymen, introduction to neurotech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Intelligence Layer </w:t>
      </w:r>
      <w:r w:rsidDel="00000000" w:rsidR="00000000" w:rsidRPr="00000000">
        <w:rPr>
          <w:rtl w:val="0"/>
        </w:rPr>
        <w:t xml:space="preserve">— biweekly relevant synthesis of trends, funding, M&amp;A information synthesis from a continuous data dashboard.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$20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Terminal </w:t>
      </w:r>
      <w:r w:rsidDel="00000000" w:rsidR="00000000" w:rsidRPr="00000000">
        <w:rPr>
          <w:rtl w:val="0"/>
        </w:rPr>
        <w:t xml:space="preserve">(Neurotech intelligence signal) — Dashboard of relevant strategic neurotech data. Patents, funding, M&amp;A, science, growth trends.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$50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M&amp;A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LLC for incorporation - grants and funding types sacrificed.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20k-30k a month. What’s the market like? How does equity affect growth?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 should we divide the equity.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stripe for incorporation. — investigate ownership here.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10% employees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5% investores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