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0"/>
        </w:rPr>
        <w:t>Топливный космоконтур 2035 — что нам надо сделать</w:t>
      </w:r>
    </w:p>
    <w:p>
      <w:pPr>
        <w:spacing w:after="160"/>
      </w:pPr>
      <w:r>
        <w:rPr>
          <w:b w:val="0"/>
          <w:i/>
          <w:sz w:val="20"/>
        </w:rPr>
        <w:t>КосмоХакатон 2026, кейс 2, постановщик АНО «КЭП». Выжимка из постановки, критериев и репозитория организаторов. Все цифры ниже — из их файлов, ничего не придумано.</w:t>
      </w:r>
    </w:p>
    <w:p>
      <w:pPr>
        <w:pStyle w:val="Heading1"/>
      </w:pPr>
      <w:r>
        <w:t>1. О чём задача, в двух словах</w:t>
      </w:r>
    </w:p>
    <w:p>
      <w:r>
        <w:rPr>
          <w:b w:val="0"/>
          <w:i w:val="0"/>
        </w:rPr>
        <w:t>Мы — оператор орбитального топливного узла. Надо спланировать 2035–2040: откуда брать топливо, сколько мощности резервировать по контрактам, сколько держать в запасе, во что и когда вкладываться. Спрос растёт почти в четыре раза, а каналов поставки пять, и у каждого свои условия: цена, take-or-pay, срок заказа, надёжность.</w:t>
      </w:r>
    </w:p>
    <w:p>
      <w:r>
        <w:rPr>
          <w:b w:val="0"/>
          <w:i w:val="0"/>
        </w:rPr>
        <w:t>Сдаём не таблицу, а работающий инструмент: оператор меняет решения → всё пересчитывается → видно, где нарушены ограничения (год, величина, причина) → можно сравнить обычный сценарий со стрессовым, сохранить план и выгрузить в CSV/XLSX. Плюс записка на 8–12 страниц и презентация.</w:t>
      </w:r>
    </w:p>
    <w:p>
      <w:r>
        <w:rPr>
          <w:b w:val="0"/>
          <w:i w:val="0"/>
        </w:rPr>
        <w:t>Главное, что подчёркивают организаторы: побеждает не красивый интерфейс и не самая дешёвая цифра, а проверяемая модель. Каждое число должно совпадать в модели, выгрузке и записке, и должно быть понятно, откуда оно взялось.</w:t>
      </w:r>
    </w:p>
    <w:p>
      <w:pPr>
        <w:pStyle w:val="Heading1"/>
      </w:pPr>
      <w:r>
        <w:t>2. Исходные данные</w:t>
      </w:r>
    </w:p>
    <w:p>
      <w:pPr>
        <w:pStyle w:val="Heading2"/>
      </w:pPr>
      <w:r>
        <w:t>Спрос, т/год (критический входит в общий, не складывать)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381"/>
            <w:shd w:val="clear" w:color="auto" w:fill="E4E9F2"/>
          </w:tcPr>
          <w:p>
            <w:r/>
            <w:r>
              <w:rPr>
                <w:b/>
                <w:sz w:val="19"/>
              </w:rPr>
              <w:t>Год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2035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2036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2037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2038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2039</w:t>
            </w:r>
          </w:p>
        </w:tc>
        <w:tc>
          <w:tcPr>
            <w:tcW w:type="dxa" w:w="1077"/>
            <w:shd w:val="clear" w:color="auto" w:fill="E4E9F2"/>
          </w:tcPr>
          <w:p>
            <w:r/>
            <w:r>
              <w:rPr>
                <w:b/>
                <w:sz w:val="19"/>
              </w:rPr>
              <w:t>2040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Общий (базовый)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140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190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320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390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Критический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105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135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170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210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250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Низкий сценарий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112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152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312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Высокий сценарий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110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154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209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312,5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487,5</w:t>
            </w:r>
          </w:p>
        </w:tc>
      </w:tr>
    </w:tbl>
    <w:p>
      <w:pPr>
        <w:spacing w:after="40"/>
      </w:pPr>
    </w:p>
    <w:p>
      <w:pPr>
        <w:pStyle w:val="Heading2"/>
      </w:pPr>
      <w:r>
        <w:t>Каналы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361"/>
            <w:shd w:val="clear" w:color="auto" w:fill="E4E9F2"/>
          </w:tcPr>
          <w:p>
            <w:r/>
            <w:r>
              <w:rPr>
                <w:b/>
                <w:sz w:val="17"/>
              </w:rPr>
              <w:t>Канал</w:t>
            </w:r>
          </w:p>
        </w:tc>
        <w:tc>
          <w:tcPr>
            <w:tcW w:type="dxa" w:w="850"/>
            <w:shd w:val="clear" w:color="auto" w:fill="E4E9F2"/>
          </w:tcPr>
          <w:p>
            <w:r/>
            <w:r>
              <w:rPr>
                <w:b/>
                <w:sz w:val="17"/>
              </w:rPr>
              <w:t>Мощн., т/год</w:t>
            </w:r>
          </w:p>
        </w:tc>
        <w:tc>
          <w:tcPr>
            <w:tcW w:type="dxa" w:w="794"/>
            <w:shd w:val="clear" w:color="auto" w:fill="E4E9F2"/>
          </w:tcPr>
          <w:p>
            <w:r/>
            <w:r>
              <w:rPr>
                <w:b/>
                <w:sz w:val="17"/>
              </w:rPr>
              <w:t>Цена, млн/т</w:t>
            </w:r>
          </w:p>
        </w:tc>
        <w:tc>
          <w:tcPr>
            <w:tcW w:type="dxa" w:w="907"/>
            <w:shd w:val="clear" w:color="auto" w:fill="E4E9F2"/>
          </w:tcPr>
          <w:p>
            <w:r/>
            <w:r>
              <w:rPr>
                <w:b/>
                <w:sz w:val="17"/>
              </w:rPr>
              <w:t>Резерв, млн за т/год</w:t>
            </w:r>
          </w:p>
        </w:tc>
        <w:tc>
          <w:tcPr>
            <w:tcW w:type="dxa" w:w="964"/>
            <w:shd w:val="clear" w:color="auto" w:fill="E4E9F2"/>
          </w:tcPr>
          <w:p>
            <w:r/>
            <w:r>
              <w:rPr>
                <w:b/>
                <w:sz w:val="17"/>
              </w:rPr>
              <w:t>Take-or-pay</w:t>
            </w:r>
          </w:p>
        </w:tc>
        <w:tc>
          <w:tcPr>
            <w:tcW w:type="dxa" w:w="1020"/>
            <w:shd w:val="clear" w:color="auto" w:fill="E4E9F2"/>
          </w:tcPr>
          <w:p>
            <w:r/>
            <w:r>
              <w:rPr>
                <w:b/>
                <w:sz w:val="17"/>
              </w:rPr>
              <w:t>Срок заказа</w:t>
            </w:r>
          </w:p>
        </w:tc>
        <w:tc>
          <w:tcPr>
            <w:tcW w:type="dxa" w:w="907"/>
            <w:shd w:val="clear" w:color="auto" w:fill="E4E9F2"/>
          </w:tcPr>
          <w:p>
            <w:r/>
            <w:r>
              <w:rPr>
                <w:b/>
                <w:sz w:val="17"/>
              </w:rPr>
              <w:t>Надёжн.</w:t>
            </w:r>
          </w:p>
        </w:tc>
        <w:tc>
          <w:tcPr>
            <w:tcW w:type="dxa" w:w="2835"/>
            <w:shd w:val="clear" w:color="auto" w:fill="E4E9F2"/>
          </w:tcPr>
          <w:p>
            <w:r/>
            <w:r>
              <w:rPr>
                <w:b/>
                <w:sz w:val="17"/>
              </w:rPr>
              <w:t>Особенности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A Earth-Core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6,2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0,45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70 %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12 мес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0,96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дёшево, но жёсткий контракт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B Earth-Flex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8,9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0,15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 мес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0,985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гибкий, дорогой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C Earth-New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7,1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0,30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50 % после ввода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18–24 мес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0,88 → 0,94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опцион 90 + исполнение 270 = 360 всего; ввод ждать 1,5–2 года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D Lunar-ISRU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3,0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1–2 мес после ввода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0,78 / 0,90 / 0,93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только с 2038, CAPEX 1250 надо оплатить до 2038, плюс 70/год фикс. OPEX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E Emergency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80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13,8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0,35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6 недель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0,995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базовым каналом не больше 2 лет подряд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Деньги везде в млн условных единиц. Надёжность в базовом сценарии на поставку НЕ умножается — она идёт в реестр рисков отдельным блоком.</w:t>
      </w:r>
    </w:p>
    <w:p>
      <w:pPr>
        <w:pStyle w:val="Heading2"/>
      </w:pPr>
      <w:r>
        <w:t>Хранилище</w:t>
      </w:r>
    </w:p>
    <w:p>
      <w:pPr>
        <w:pStyle w:val="ListBullet"/>
      </w:pPr>
      <w:r>
        <w:t>Базовое: 70 т, ничего не стоит, потери 4,5 % от всего, что в него поступает, хранение 0,72 млн за тонну в год (по среднему запасу).</w:t>
      </w:r>
    </w:p>
    <w:p>
      <w:pPr>
        <w:pStyle w:val="ListBullet"/>
      </w:pPr>
      <w:r>
        <w:t>ZBO-апгрейд (можно с 2036): CAPEX 180, ёмкость 120 т, потери 1,2 %, плюс 12 млн/год OPEX.</w:t>
      </w:r>
    </w:p>
    <w:p>
      <w:pPr>
        <w:pStyle w:val="Heading1"/>
      </w:pPr>
      <w:r>
        <w:t>3. Что должно выполняться каждый год</w:t>
      </w:r>
    </w:p>
    <w:p>
      <w:pPr>
        <w:pStyle w:val="ListBullet"/>
      </w:pPr>
      <w:r>
        <w:t xml:space="preserve">Сервис в базовом сценарии: </w:t>
      </w:r>
      <w:r>
        <w:rPr>
          <w:b/>
          <w:i w:val="0"/>
        </w:rPr>
        <w:t>критический спрос покрыт на ≥ 99 %</w:t>
      </w:r>
      <w:r>
        <w:t>, общий — на ≥ 97 %.</w:t>
      </w:r>
    </w:p>
    <w:p>
      <w:pPr>
        <w:pStyle w:val="ListBullet"/>
      </w:pPr>
      <w:r>
        <w:t xml:space="preserve">CAPEX: </w:t>
      </w:r>
      <w:r>
        <w:rPr>
          <w:b/>
          <w:i w:val="0"/>
        </w:rPr>
        <w:t>≤ 1800 до конца 2037</w:t>
      </w:r>
      <w:r>
        <w:t xml:space="preserve"> и </w:t>
      </w:r>
      <w:r>
        <w:rPr>
          <w:b/>
          <w:i w:val="0"/>
        </w:rPr>
        <w:t>≤ 2800 за весь горизонт</w:t>
      </w:r>
      <w:r>
        <w:t xml:space="preserve"> (накопленным итогом).</w:t>
      </w:r>
    </w:p>
    <w:p>
      <w:pPr>
        <w:pStyle w:val="ListBullet"/>
      </w:pPr>
      <w:r>
        <w:t xml:space="preserve">Запас на начало года: </w:t>
      </w:r>
      <w:r>
        <w:rPr>
          <w:b/>
          <w:i w:val="0"/>
        </w:rPr>
        <w:t>45 дней спроса</w:t>
      </w:r>
      <w:r>
        <w:t xml:space="preserve"> физически в баке, R = D × 45/365. Контракт на резерв мощности — это не запас в баке; Emergency засчитывается только если показано, что успевает за 6 недель.</w:t>
      </w:r>
    </w:p>
    <w:p>
      <w:pPr>
        <w:pStyle w:val="ListBullet"/>
      </w:pPr>
      <w:r>
        <w:t>Мощности каналов, ёмкость хранилища, сроки заказа и ввода — всё проверяется числом, не словами.</w:t>
      </w:r>
    </w:p>
    <w:p>
      <w:pPr>
        <w:pStyle w:val="ListBullet"/>
      </w:pPr>
      <w:r>
        <w:t>Emergency не может быть базовым каналом больше двух лет подряд.</w:t>
      </w:r>
    </w:p>
    <w:p>
      <w:pPr>
        <w:pStyle w:val="ListBullet"/>
      </w:pPr>
      <w:r>
        <w:t>ISRU в первый год не надёжнее 0,78, если нет обоснования.</w:t>
      </w:r>
    </w:p>
    <w:p>
      <w:pPr>
        <w:pStyle w:val="ListBullet"/>
      </w:pPr>
      <w:r>
        <w:t xml:space="preserve">В стрессе с 2038 года </w:t>
      </w:r>
      <w:r>
        <w:rPr>
          <w:b/>
          <w:i w:val="0"/>
        </w:rPr>
        <w:t>потери ≤ 2 %</w:t>
      </w:r>
      <w:r>
        <w:t xml:space="preserve"> от оборота — с базовым хранилищем это невозможно, значит ZBO.</w:t>
      </w:r>
    </w:p>
    <w:p>
      <w:r>
        <w:rPr>
          <w:b w:val="0"/>
          <w:i w:val="0"/>
          <w:sz w:val="20"/>
        </w:rPr>
        <w:t>Нарушение выводится так: код правила + год + факт / порог / превышение. Усреднять по горизонту нельзя — ловят на этом.</w:t>
      </w:r>
    </w:p>
    <w:p>
      <w:pPr>
        <w:pStyle w:val="Heading1"/>
      </w:pPr>
      <w:r>
        <w:t>4. Обязательный стресс (известен сразу, файл scenarios/mandatory_stress.yaml)</w:t>
      </w:r>
    </w:p>
    <w:p>
      <w:pPr>
        <w:pStyle w:val="ListBullet"/>
      </w:pPr>
      <w:r>
        <w:t>2038–2040: спрос и критический спрос × 1,15.</w:t>
      </w:r>
    </w:p>
    <w:p>
      <w:pPr>
        <w:pStyle w:val="ListBullet"/>
      </w:pPr>
      <w:r>
        <w:t>2038–2039: цена Earth-Core и Earth-Flex × 1,25 (только эти два, только цена за тонну; резервирование и CAPEX не трогаем).</w:t>
      </w:r>
    </w:p>
    <w:p>
      <w:pPr>
        <w:pStyle w:val="ListBullet"/>
      </w:pPr>
      <w:r>
        <w:t>ISRU реально даёт 55 % плана в 2038, 75 % в 2039, 100 % в 2040. Это уже факт, на надёжность второй раз не умножать.</w:t>
      </w:r>
    </w:p>
    <w:p>
      <w:pPr>
        <w:pStyle w:val="ListBullet"/>
      </w:pPr>
      <w:r>
        <w:t>Потери ≤ 2 % с 2038.</w:t>
      </w:r>
    </w:p>
    <w:p>
      <w:pPr>
        <w:pStyle w:val="ListBullet"/>
      </w:pPr>
      <w:r>
        <w:t>Стресс не смешивается с высоким спросом и с геополитикой — это отдельные сценарии.</w:t>
      </w:r>
    </w:p>
    <w:p>
      <w:r>
        <w:rPr>
          <w:b w:val="0"/>
          <w:i w:val="0"/>
          <w:sz w:val="20"/>
        </w:rPr>
        <w:t>Важно: мы знаем стресс заранее, но в расчёте нельзя мгновенно ввести мощность или переписать оплаченный контракт. Реакция стоит времени и денег, это надо показать. Можно и оставить стратегию как есть — если объяснить почему.</w:t>
      </w:r>
    </w:p>
    <w:p>
      <w:pPr>
        <w:pStyle w:val="Heading1"/>
      </w:pPr>
      <w:r>
        <w:t>5. Правила расчёта, на которых режут баллы</w:t>
      </w:r>
    </w:p>
    <w:p>
      <w:r>
        <w:rPr>
          <w:b w:val="0"/>
          <w:i w:val="0"/>
        </w:rPr>
        <w:t>Организаторы прямо перечислили, где команды обычно ошибаются. Это надо держать перед глазами:</w:t>
      </w:r>
    </w:p>
    <w:p>
      <w:pPr>
        <w:pStyle w:val="ListNumber"/>
      </w:pPr>
      <w:r>
        <w:t>Баланс: I_end = I_start + поставлено − потери − выдано. Отрицательного запаса не бывает, дефицит — отдельная строка: max(0, спрос − выдано).</w:t>
      </w:r>
    </w:p>
    <w:p>
      <w:pPr>
        <w:pStyle w:val="ListNumber"/>
      </w:pPr>
      <w:r>
        <w:t>Потери считаются один раз, от валового поступления (throughput × ставка). Не от остатка, не дважды.</w:t>
      </w:r>
    </w:p>
    <w:p>
      <w:pPr>
        <w:pStyle w:val="ListNumber"/>
      </w:pPr>
      <w:r>
        <w:t>Take-or-pay: платим за max(заказ, доля × зарезервировано). Это один платёж по цене за тонну, а не «закупка + ещё штраф сверху».</w:t>
      </w:r>
    </w:p>
    <w:p>
      <w:pPr>
        <w:pStyle w:val="ListNumber"/>
      </w:pPr>
      <w:r>
        <w:t>Резервирование: ставка × зарезервированная годовая мощность × доля периода. Это отдельно от закупки.</w:t>
      </w:r>
    </w:p>
    <w:p>
      <w:pPr>
        <w:pStyle w:val="ListNumber"/>
      </w:pPr>
      <w:r>
        <w:t>Итого = закупка + резервирование + хранение + фиксированный OPEX + CAPEX. Дисконтирование PV = CF/(1+r)^(t−t0), ставку r выбираем сами, объявляем и применяем одинаково ко всем вариантам.</w:t>
      </w:r>
    </w:p>
    <w:p>
      <w:pPr>
        <w:pStyle w:val="ListNumber"/>
      </w:pPr>
      <w:r>
        <w:t>Earth-New: 90 + 270 = 360, нет третьего платежа. ISRU: 1250 должны быть профинансированы до 2038, иначе в 2038 канала нет.</w:t>
      </w:r>
    </w:p>
    <w:p>
      <w:pPr>
        <w:pStyle w:val="ListNumber"/>
      </w:pPr>
      <w:r>
        <w:t>Начальный запас не берётся из воздуха: откуда, когда, по какой цене.</w:t>
      </w:r>
    </w:p>
    <w:p>
      <w:pPr>
        <w:pStyle w:val="ListNumber"/>
      </w:pPr>
      <w:r>
        <w:t>Выручки в задаче нет. Стоимость обеспечения — это не прибыль и не рентабельность, так и пишем.</w:t>
      </w:r>
    </w:p>
    <w:p>
      <w:pPr>
        <w:pStyle w:val="ListNumber"/>
      </w:pPr>
      <w:r>
        <w:t>Всё, что мы задаём сами, помечаем как TEAM_ASSUMPTION: название, значение, единица, откуда взяли, где применяется. Данные организаторов — CASE_INPUT, наши решения — TEAM_DECISION.</w:t>
      </w:r>
    </w:p>
    <w:p>
      <w:r>
        <w:rPr>
          <w:b w:val="0"/>
          <w:i w:val="0"/>
          <w:sz w:val="20"/>
        </w:rPr>
        <w:t>Организаторы дали десять контрольных примеров V01–V10 (validation/control_cases.md + expected_checks.json) с ожидаемыми числами. Это готовые первые тесты: пока они не проходят, дальше двигаться нельзя.</w:t>
      </w:r>
    </w:p>
    <w:p>
      <w:pPr>
        <w:pStyle w:val="Heading1"/>
      </w:pPr>
      <w:r>
        <w:t>6. Что сдаём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E4E9F2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483"/>
            <w:shd w:val="clear" w:color="auto" w:fill="E4E9F2"/>
          </w:tcPr>
          <w:p>
            <w:r/>
            <w:r>
              <w:rPr>
                <w:b/>
                <w:sz w:val="18"/>
              </w:rPr>
              <w:t>Требования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Цифровой контур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Код, данные, конфиги, сохранённые планы для BASE и STRESS, протоколы тестов, инструкция запуска. Оператор меняет входы и контракты, пересчитывает, видит нарушения, сравнивает сценарии, сохраняет и открывает план, выгружает CSV/XLSX. Excel как единственная реализация запрещён. Чат-бот может только запускать расчёт.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Управленческая записка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8–12 страниц: архитектура расчёта и снабжения, методы и источники, данные и допущения, сравнение стратегий, контракты, экономика, стресс-тесты, реестр рисков, стейкхолдеры, бюджет и дорожная карта. Плюс одна страница сравнения сценариев.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Презентация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До 12 слайдов: сценарий оператора, выбранные решения и альтернативы, ключевые числа, ограничения, результаты обоих сценариев.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Расчёты в контуре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BASE, обязательный STRESS, низкий и высокий спрос, собственные риск-сценарии, расширенный горизонт (2041+ на копии данных, с явными допущениями).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Схемы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Цепочка поставок (источники → узел → хранение → потребители, резервные каналы, сроки). Контрактно-финансовая архитектура (резерв, take-or-pay, штрафы, опционы, финансирование, пересмотр).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Бюджет и дорожная карта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2035–2040: вложения, ввод мощностей, ответственные, зависимости, точки принятия решений.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Реестр рисков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Событие, причина, период, какие параметры трогает, последствия в тоннах/деньгах/сервисе, вероятность или диапазон с обоснованием, владелец, меры, стоимость мер, остаточный риск. Не «общие риски космоса», а риски нашего плана.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Стейкхолдеры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Оператор, критические и коммерческие потребители, поставщики топлива и запусков, финансирующая сторона: интересы через показатели, кто несёт затраты и последствия.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KPI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Надёжность и экономика с формулами, целями и способом контроля.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Расширяемость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На копии данных добавить шестой источник (Source-X) и год 2041, не отменяя ограничений задания.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Источники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Список публикаций с DOI, для каждого метода цепочка «источник → положение → где в модели → границы применимости». Отдельно материалы постановщика и свои.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Репозиторий на GitVerse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README с запуском и порядком проверки. Структура: src/ data/ configs/ tests/ results/ docs/. Без паролей и ключей.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Бонус до 5 баллов: блок геополитических изменений — событие → затронутые каналы и составляющая цены → период → множитель или диапазон → пересчёт, с возможностью вернуться к исходным ценам. Делаем, если успеваем основное.</w:t>
      </w:r>
    </w:p>
    <w:p>
      <w:pPr>
        <w:pStyle w:val="Heading1"/>
      </w:pPr>
      <w:r>
        <w:t>7. Как оценивают (100 + 5 баллов, 20 критериев по 0–5)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4E9F2"/>
          </w:tcPr>
          <w:p>
            <w:r/>
            <w:r>
              <w:rPr>
                <w:b/>
                <w:sz w:val="19"/>
              </w:rPr>
              <w:t>Блок</w:t>
            </w:r>
          </w:p>
        </w:tc>
        <w:tc>
          <w:tcPr>
            <w:tcW w:type="dxa" w:w="850"/>
            <w:shd w:val="clear" w:color="auto" w:fill="E4E9F2"/>
          </w:tcPr>
          <w:p>
            <w:r/>
            <w:r>
              <w:rPr>
                <w:b/>
                <w:sz w:val="19"/>
              </w:rPr>
              <w:t>Баллы</w:t>
            </w:r>
          </w:p>
        </w:tc>
        <w:tc>
          <w:tcPr>
            <w:tcW w:type="dxa" w:w="6520"/>
            <w:shd w:val="clear" w:color="auto" w:fill="E4E9F2"/>
          </w:tcPr>
          <w:p>
            <w:r/>
            <w:r>
              <w:rPr>
                <w:b/>
                <w:sz w:val="19"/>
              </w:rPr>
              <w:t>Что смотрят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Корректность модели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материальный баланс; мощности и сроки; экономика без двойного счёта; проверка ограничений по годам; воспроизводимость и совпадение чисел везде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Архитектура и стратегия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прослеживаемость результата; методы с источниками; сравнение реально разных планов; инвестиции и контракты согласованы с расчётом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Стресс-тесты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обязательный стресс применён правильно; чувствительность с порогами; протоколы тестов; работа плана в стрессе с учётом сроков реакции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Риски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реестр под наш план; последствия в цифрах; меры с ценой и остаточным риском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Стейкхолдеры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интересы через показатели; как меняется баланс интересов при изменении рисков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Функции контура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жюри само запускает, меняет, пересчитывает, сравнивает, видит нарушения; сохранение, выгрузка, расширение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Шкала: 5 — всё показано, проверяемо и обосновано; 3 — работает, но не хватает проверок; 0 — есть ошибка, из-за которой вывод недостоверен. Одна грубая ошибка в балансе обнуляет критерий целиком.</w:t>
      </w:r>
    </w:p>
    <w:p>
      <w:pPr>
        <w:pStyle w:val="Heading1"/>
      </w:pPr>
      <w:r>
        <w:t>8. Что уже видно из цифр</w:t>
      </w:r>
    </w:p>
    <w:p>
      <w:pPr>
        <w:pStyle w:val="ListBullet"/>
      </w:pPr>
      <w:r>
        <w:t>Core + Flex дают 300 т/год. Хватает до 2038 (250), в 2039 спрос 320 — без новой мощности никак. Из-за сроков заказа решать надо в 2037.</w:t>
      </w:r>
    </w:p>
    <w:p>
      <w:pPr>
        <w:pStyle w:val="ListBullet"/>
      </w:pPr>
      <w:r>
        <w:t>Earth-New окупается, если заменяет Flex: экономия 1,65/т × 130 т × 3 года ≈ 640 против 360 вложений.</w:t>
      </w:r>
    </w:p>
    <w:p>
      <w:pPr>
        <w:pStyle w:val="ListBullet"/>
      </w:pPr>
      <w:r>
        <w:t>ISRU внутри горизонта не отбивается: экономия против Core за 2038–2040 ≈ 1300, а CAPEX 1250 + OPEX 210, и в стрессе он даёт половину. Это стратегический опцион на 2041+, честно так и показываем.</w:t>
      </w:r>
    </w:p>
    <w:p>
      <w:pPr>
        <w:pStyle w:val="ListBullet"/>
      </w:pPr>
      <w:r>
        <w:t>ISRU 1250 + Earth-New 360 + ZBO 180 = 1790 ≤ 1800 — всё влезает в лимит до 2037 впритык. Похоже на подсказку организаторов.</w:t>
      </w:r>
    </w:p>
    <w:p>
      <w:pPr>
        <w:pStyle w:val="ListBullet"/>
      </w:pPr>
      <w:r>
        <w:t>Потери ≤ 2 % в стрессе делают ZBO обязательным, решение до 2037.</w:t>
      </w:r>
    </w:p>
    <w:p>
      <w:pPr>
        <w:pStyle w:val="ListBullet"/>
      </w:pPr>
      <w:r>
        <w:t>45-дневный резерв в 2040: 48 т в базе, 55 т в стрессе, 60 т при высоком спросе. В 70 т влезает, но без запаса на манёвр; ZBO даёт 120 т.</w:t>
      </w:r>
    </w:p>
    <w:p>
      <w:pPr>
        <w:pStyle w:val="ListBullet"/>
      </w:pPr>
      <w:r>
        <w:t>Emergency — только страховка: 13,8/т и лимит 2 года базой. Через него закрывать 45-дневный резерв можно, только если показали, что 6 недель ожидания перекрыты запасом в баке.</w:t>
      </w:r>
    </w:p>
    <w:p>
      <w:pPr>
        <w:pStyle w:val="Heading1"/>
      </w:pPr>
      <w:r>
        <w:t>9. Как предлагаю делить работу</w:t>
      </w:r>
    </w:p>
    <w:p>
      <w:r>
        <w:rPr>
          <w:b w:val="0"/>
          <w:i w:val="0"/>
        </w:rPr>
        <w:t>Четыре блока, каждый со своим хозяином. Всё считается в одном месте — в движке; интерфейс, записка и презентация берут числа только оттуда.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E4E9F2"/>
          </w:tcPr>
          <w:p>
            <w:r/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5443"/>
            <w:shd w:val="clear" w:color="auto" w:fill="E4E9F2"/>
          </w:tcPr>
          <w:p>
            <w:r/>
            <w:r>
              <w:rPr>
                <w:b/>
                <w:sz w:val="18"/>
              </w:rPr>
              <w:t>Что внутри</w:t>
            </w:r>
          </w:p>
        </w:tc>
        <w:tc>
          <w:tcPr>
            <w:tcW w:type="dxa" w:w="2268"/>
            <w:shd w:val="clear" w:color="auto" w:fill="E4E9F2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Расчётное ядро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Баланс по годам, потери, платежи по каналам (закупка, резерв, take-or-pay), хранение, CAPEX/OPEX, дисконтирование, проверка всех ограничений с кодом/годом/величиной, сценарии BASE/STRESS/low/high, загрузка плана из JSON, экспорт. Тесты V01–V10 плюс свои.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src/, tests/, configs/, results/ с выгрузками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Интерфейс оператора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Обзор по годам (спрос, поставки, запас, потери, расходы, дефицит, SL общий и критический отдельно), редактирование плана и контрактов, переключение сценария, сравнение, нарушения на экране, сохранить/открыть, выгрузка, понятные ошибки при кривом вводе. Формул в интерфейсе нет.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рабочее приложение + инструкция запуска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Стратегия и стресс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Три–четыре содержательно разных плана на одних данных, выбор и обоснование, работа плана в стрессе (что меняем, что нет, сколько стоит реакция), анализ чувствительности с порогами, протоколы тестов, расширение на 2041 и Source-X, геополитический блок, если успеем.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разделы записки, results/ по каждому сценарию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Риски, стейкхолдеры, документы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Реестр рисков с цифрами и остаточным риском, карта стейкхолдеров, KPI, контрактно-финансовая схема, схема цепочки поставок, дорожная карта и бюджет, список источников, сама записка 8–12 стр., одностраничник, презентация.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docs/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Порядок: сначала ядро проходит V01–V10 и обязательный стресс, потом интерфейс садится на него, параллельно считаются альтернативы и пишется записка. Числа в записке появляются только после того, как их дал движок.</w:t>
      </w:r>
    </w:p>
    <w:p>
      <w:pPr>
        <w:pStyle w:val="Heading1"/>
      </w:pPr>
      <w:r>
        <w:t>10. Что надо решить сразу</w:t>
      </w:r>
    </w:p>
    <w:p>
      <w:pPr>
        <w:pStyle w:val="ListNumber"/>
      </w:pPr>
      <w:r>
        <w:t>Кто какой блок берёт и кто капитан.</w:t>
      </w:r>
    </w:p>
    <w:p>
      <w:pPr>
        <w:pStyle w:val="ListNumber"/>
      </w:pPr>
      <w:r>
        <w:t>Дедлайн сдачи и дата защиты.</w:t>
      </w:r>
    </w:p>
    <w:p>
      <w:pPr>
        <w:pStyle w:val="ListNumber"/>
      </w:pPr>
      <w:r>
        <w:t>Репозиторий на GitVerse: кто создаёт, структура как у организаторов (src/ data/ configs/ tests/ results/ docs/).</w:t>
      </w:r>
    </w:p>
    <w:p>
      <w:pPr>
        <w:pStyle w:val="ListNumber"/>
      </w:pPr>
      <w:r>
        <w:t>Стек. Предложение: Python без тяжёлых зависимостей для ядра, лёгкий веб-интерфейс поверх, чтобы жюри запускало одной командой.</w:t>
      </w:r>
    </w:p>
    <w:p>
      <w:pPr>
        <w:pStyle w:val="ListNumber"/>
      </w:pPr>
      <w:r>
        <w:t>Ставка дисконтирования и базовый год — наше допущение, надо выбрать и записать один раз.</w:t>
      </w:r>
    </w:p>
    <w:p>
      <w:pPr>
        <w:pStyle w:val="ListNumber"/>
      </w:pPr>
      <w:r>
        <w:t>Начальный запас на 1 января 2035: сколько, откуда, за сколько.</w:t>
      </w:r>
    </w:p>
    <w:p>
      <w:pPr>
        <w:pStyle w:val="Heading1"/>
      </w:pPr>
      <w:r>
        <w:t>Ссылки</w:t>
      </w:r>
    </w:p>
    <w:p>
      <w:pPr>
        <w:pStyle w:val="ListBullet"/>
      </w:pPr>
      <w:r>
        <w:t>Репозиторий организаторов с данными, правилами и контрольными примерами: https://github.com/SpaceEconomyPolicy/test_oil</w:t>
      </w:r>
    </w:p>
    <w:p>
      <w:pPr>
        <w:pStyle w:val="ListBullet"/>
      </w:pPr>
      <w:r>
        <w:t>Дополнительные методические материалы: https://disk.360.yandex.ru/d/oMVoGQwhXvzzGg</w:t>
      </w:r>
    </w:p>
    <w:p>
      <w:pPr>
        <w:pStyle w:val="ListBullet"/>
      </w:pPr>
      <w:r>
        <w:t>Литература, на которую ссылаются организаторы: NASA-STD-7009B; Koki Ho (2024); Simonini et al. (2024); Sommariva et al. (2023); Bertsimas &amp; Sim (2004); Linkov et al. (2006); JCGM 101:2008; Han et al. (2023); Guo et al. (2025); Kenny / Perrin (2025). Подробнее — docs/SCIENTIFIC_BASIS.md в их репозитории.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