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简要版  可用于个人博客</w:t>
      </w:r>
    </w:p>
    <w:p>
      <w:r>
        <w:t>两台主机均为单千兆网口 J1900：Debian 主机配 8 GB DDR3、64 GB mSATA SSD，使用 19 V 独立电源；OpenWrt 主机配 2 GB DDR3、32 GB mSATA SSD，使用 12 V 电源。中兴 E8822 电信定制版负责校园接入，OpenWrt 采用旁路由方案。TL-SG1008M 用于扩展端口，主路由接口够用时可省去。</w:t>
      </w:r>
    </w:p>
    <w:p>
      <w:r>
        <w:t>主机相关支出 245 元，路由器、交换机和 4 根网线共 56.2 元，已知费用合计 301.2 元。12 V 可调电源为主路由和 OpenWrt 主机供电，交换机通过 12 V 转 9 V 模块供电；供电配件价格另计。</w:t>
      </w:r>
    </w:p>
    <w:p>
      <w:r>
        <w:t>主要问题集中在地址冲突、网段重叠、代理链、DNS、字符编码和 AI 协议差异。通过规划 DHCP、精确路由、独立桥接、按协议适配和回归测试逐步解决。项目整理为三个分项教程、对应 Prompt、总 Prompt 和源码，方便以后按参数复现。</w:t>
      </w:r>
    </w:p>
    <w:p>
      <w:r>
        <w:t>设备采购、接线和供电另有土豆的服务器和软路由简要版与详细版，作为三个部署教程的基础资料。</w:t>
      </w:r>
    </w:p>
    <w:sectPr w:rsidR="00FC693F" w:rsidRPr="0006063C" w:rsidSect="00034616"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20"/>
    </w:pPr>
    <w:rPr>
      <w:rFonts w:ascii="Arial" w:hAnsi="Arial" w:eastAsia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Arial" w:hAnsi="Arial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Arial" w:hAnsi="Arial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Arial" w:hAnsi="Arial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="Arial" w:hAnsi="Arial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="Arial" w:hAnsi="Arial" w:eastAsia="Microsoft YaHei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widowControl w:val="0"/>
      <w:spacing w:line="250" w:lineRule="auto" w:after="0"/>
    </w:pPr>
    <w:rPr>
      <w:rFonts w:ascii="Consolas" w:hAnsi="Consolas" w:eastAsia="Microsoft YaHei"/>
      <w:b w:val="0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J1900 服务器 与博客项目介绍</dc:title>
  <dc:subject>j1900_2_server_net</dc:subject>
  <dc:creator>Project maintainer</dc:creator>
  <cp:keywords>J1900 Debian OpenWrt Docker Blog 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