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 w:lineRule="auto"/>
        <w:jc w:val="center"/>
      </w:pPr>
      <w:r>
        <w:rPr>
          <w:rFonts w:ascii="맑은 고딕" w:cs="맑은 고딕" w:eastAsia="맑은 고딕" w:hAnsi="맑은 고딕"/>
          <w:b/>
          <w:bCs/>
          <w:color w:val="1E2D4A"/>
          <w:sz w:val="26"/>
          <w:szCs w:val="26"/>
        </w:rPr>
        <w:t xml:space="preserve">민사소송법 찌라시 (스킬 테스트)  [2026-07-02]</w:t>
      </w:r>
    </w:p>
    <w:tbl>
      <w:tblPr>
        <w:tblW w:type="dxa" w:w="10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Ⅰ. 소취하 · 재소금지</w:t>
            </w:r>
          </w:p>
        </w:tc>
      </w:tr>
    </w:tbl>
    <w:p>
      <w:pPr>
        <w:spacing w:after="30" w:line="276" w:lineRule="auto"/>
      </w:pPr>
    </w:p>
    <w:p>
      <w:pPr>
        <w:pBdr>
          <w:top w:val="none" w:color="FFFFFF" w:sz="0"/>
          <w:bottom w:val="single" w:color="2C4A8A" w:sz="4"/>
          <w:left w:val="none" w:color="FFFFFF" w:sz="0"/>
          <w:right w:val="none" w:color="FFFFFF" w:sz="0"/>
        </w:pBdr>
        <w:spacing w:after="16" w:line="276" w:lineRule="auto"/>
      </w:pPr>
      <w:r>
        <w:rPr>
          <w:rFonts w:ascii="맑은 고딕" w:cs="맑은 고딕" w:eastAsia="맑은 고딕" w:hAnsi="맑은 고딕"/>
          <w:b/>
          <w:bCs/>
          <w:color w:val="2C4A8A"/>
          <w:sz w:val="19"/>
          <w:szCs w:val="19"/>
        </w:rPr>
        <w:t xml:space="preserve">논점 33. 재소금지 (제267조 제2항)</w:t>
      </w:r>
    </w:p>
    <w:p>
      <w:pPr>
        <w:pBdr>
          <w:top w:val="none" w:color="FFFFFF" w:sz="0"/>
          <w:bottom w:val="none" w:color="FFFFFF" w:sz="0"/>
          <w:left w:val="single" w:color="1E2D4A" w:sz="12"/>
          <w:right w:val="none" w:color="FFFFFF" w:sz="0"/>
        </w:pBdr>
        <w:shd w:fill="FCE4D6" w:val="clear"/>
        <w:spacing w:after="20" w:line="276" w:lineRule="auto"/>
        <w:ind w:left="80"/>
      </w:pPr>
      <w:r>
        <w:rPr>
          <w:rFonts w:ascii="맑은 고딕" w:cs="맑은 고딕" w:eastAsia="맑은 고딕" w:hAnsi="맑은 고딕"/>
          <w:b/>
          <w:bCs/>
          <w:color w:val="1A1A2E"/>
          <w:sz w:val="18"/>
          <w:szCs w:val="18"/>
        </w:rPr>
        <w:t xml:space="preserve">당.소.권.이  →  당사자동일 · 소송물동일 · 권리보호이익동일</w:t>
      </w:r>
    </w:p>
    <w:tbl>
      <w:tblPr>
        <w:tblW w:type="dxa" w:w="10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300"/>
            <w:tcBorders>
              <w:top w:val="single" w:color="D0C8B8" w:sz="2"/>
              <w:left w:val="single" w:color="D0C8B8" w:sz="2"/>
              <w:bottom w:val="single" w:color="D0C8B8" w:sz="2"/>
              <w:right w:val="single" w:color="D0C8B8" w:sz="2"/>
            </w:tcBorders>
            <w:shd w:fill="F2E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hd w:fill="F0EDE8" w:val="clear"/>
              <w:spacing w:after="20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E2D4A"/>
                <w:sz w:val="18"/>
                <w:szCs w:val="18"/>
              </w:rPr>
              <w:t xml:space="preserve">[1] 소취하</w:t>
            </w:r>
          </w:p>
          <w:p>
            <w:pPr>
              <w:spacing w:after="14" w:line="276" w:lineRule="auto"/>
              <w:ind w:left="160"/>
            </w:pPr>
            <w:r>
              <w:rPr>
                <w:rFonts w:ascii="맑은 고딕" w:cs="맑은 고딕" w:eastAsia="맑은 고딕" w:hAnsi="맑은 고딕"/>
                <w:color w:val="1A1A2E"/>
                <w:sz w:val="18"/>
                <w:szCs w:val="18"/>
              </w:rPr>
              <w:t xml:space="preserve">· 의의: 소의 전부·일부 철회</w:t>
            </w:r>
          </w:p>
          <w:p>
            <w:pPr>
              <w:spacing w:after="14" w:line="276" w:lineRule="auto"/>
              <w:ind w:left="360"/>
            </w:pPr>
            <w:r>
              <w:rPr>
                <w:rFonts w:ascii="맑은 고딕" w:cs="맑은 고딕" w:eastAsia="맑은 고딕" w:hAnsi="맑은 고딕"/>
                <w:color w:val="333333"/>
                <w:sz w:val="16"/>
                <w:szCs w:val="16"/>
              </w:rPr>
              <w:t xml:space="preserve">- 본안판결 후 취하 시 재소금지</w:t>
            </w:r>
          </w:p>
        </w:tc>
        <w:tc>
          <w:tcPr>
            <w:tcW w:type="dxa" w:w="5446"/>
            <w:tcBorders>
              <w:top w:val="single" w:color="D0C8B8" w:sz="2"/>
              <w:left w:val="single" w:color="D0C8B8" w:sz="2"/>
              <w:bottom w:val="single" w:color="D0C8B8" w:sz="2"/>
              <w:right w:val="single" w:color="D0C8B8" w:sz="2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14" w:line="276" w:lineRule="auto"/>
            </w:pPr>
          </w:p>
        </w:tc>
      </w:tr>
      <w:tr>
        <w:tc>
          <w:tcPr>
            <w:tcW w:type="dxa" w:w="5300"/>
            <w:tcBorders>
              <w:top w:val="single" w:color="D0C8B8" w:sz="2"/>
              <w:left w:val="single" w:color="D0C8B8" w:sz="2"/>
              <w:bottom w:val="single" w:color="D0C8B8" w:sz="2"/>
              <w:right w:val="single" w:color="D0C8B8" w:sz="2"/>
            </w:tcBorders>
            <w:shd w:fill="F2E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hd w:fill="F0EDE8" w:val="clear"/>
              <w:spacing w:after="20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E2D4A"/>
                <w:sz w:val="18"/>
                <w:szCs w:val="18"/>
              </w:rPr>
              <w:t xml:space="preserve">[2] 재소금지</w:t>
            </w:r>
          </w:p>
          <w:p>
            <w:pPr>
              <w:spacing w:after="14" w:line="276" w:lineRule="auto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8"/>
                <w:szCs w:val="18"/>
              </w:rPr>
              <w:t xml:space="preserve">요건: 당.소.권.이</w:t>
            </w:r>
          </w:p>
          <w:p>
            <w:pPr>
              <w:spacing w:after="14" w:line="276" w:lineRule="auto"/>
              <w:ind w:left="16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당사자·소송물·권리보호이익 동일</w:t>
            </w:r>
          </w:p>
        </w:tc>
        <w:tc>
          <w:tcPr>
            <w:tcW w:type="dxa" w:w="5446"/>
            <w:tcBorders>
              <w:top w:val="single" w:color="D0C8B8" w:sz="2"/>
              <w:left w:val="single" w:color="D0C8B8" w:sz="2"/>
              <w:bottom w:val="single" w:color="D0C8B8" w:sz="2"/>
              <w:right w:val="single" w:color="D0C8B8" w:sz="2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C4A8A"/>
                <w:sz w:val="16"/>
                <w:szCs w:val="16"/>
              </w:rPr>
              <w:t xml:space="preserve">▷ 재소금지 취지</w:t>
            </w:r>
          </w:p>
          <w:p>
            <w:pPr>
              <w:pBdr>
                <w:top w:val="none" w:color="FFFFFF" w:sz="0"/>
                <w:bottom w:val="none" w:color="FFFFFF" w:sz="0"/>
                <w:left w:val="single" w:color="B22222" w:sz="12"/>
                <w:right w:val="none" w:color="FFFFFF" w:sz="0"/>
              </w:pBdr>
              <w:shd w:fill="FFFACD" w:val="clear"/>
              <w:spacing w:after="26" w:line="276" w:lineRule="auto"/>
              <w:ind w:left="80"/>
            </w:pPr>
            <w:r>
              <w:rPr>
                <w:rFonts w:ascii="맑은 고딕" w:cs="맑은 고딕" w:eastAsia="맑은 고딕" w:hAnsi="맑은 고딕"/>
                <w:color w:val="1A1A2E"/>
                <w:sz w:val="16"/>
                <w:szCs w:val="16"/>
              </w:rPr>
              <w:t xml:space="preserve">‘임의로 소를 취하하여 그동안 법원이 처리한 노력을 헛수고로 돌아가게 한 자에 대한 제재적 취지에서 </w:t>
            </w: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7B0000"/>
                <w:sz w:val="16"/>
                <w:szCs w:val="16"/>
              </w:rPr>
              <w:t xml:space="preserve">&lt;소권의 남용을 방지&gt;</w:t>
            </w:r>
            <w:r>
              <w:rPr>
                <w:rFonts w:ascii="맑은 고딕" w:cs="맑은 고딕" w:eastAsia="맑은 고딕" w:hAnsi="맑은 고딕"/>
                <w:color w:val="1A1A2E"/>
                <w:sz w:val="16"/>
                <w:szCs w:val="16"/>
              </w:rPr>
              <w:t xml:space="preserve">하려는 규정이다’</w:t>
            </w:r>
          </w:p>
        </w:tc>
      </w:tr>
    </w:tbl>
    <w:p>
      <w:pPr>
        <w:spacing w:after="46" w:line="276" w:lineRule="auto"/>
      </w:pP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2026-07-02T06:30:41.576Z</dcterms:created>
  <dcterms:modified xsi:type="dcterms:W3CDTF">2026-07-02T06:30:41.576Z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