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2D4A" w:val="clear"/>
        <w:spacing w:after="60" w:before="0"/>
        <w:ind w:left="12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민법총칙  찌라시  </w:t>
      </w:r>
      <w:r>
        <w:rPr>
          <w:rFonts w:ascii="맑은 고딕" w:cs="맑은 고딕" w:eastAsia="맑은 고딕" w:hAnsi="맑은 고딕"/>
          <w:color w:val="B0B8C8"/>
          <w:sz w:val="14"/>
          <w:szCs w:val="14"/>
        </w:rPr>
        <w:t xml:space="preserve">신의칙 · §103 · 취득시효 · 권리능력 · 제한능력자  </w:t>
      </w:r>
      <w:r>
        <w:rPr>
          <w:rFonts w:ascii="맑은 고딕" w:cs="맑은 고딕" w:eastAsia="맑은 고딕" w:hAnsi="맑은 고딕"/>
          <w:color w:val="7A8A9A"/>
          <w:sz w:val="13"/>
          <w:szCs w:val="13"/>
        </w:rPr>
        <w:t xml:space="preserve">2026.05.25</w:t>
      </w:r>
    </w:p>
    <w:tbl>
      <w:tblPr>
        <w:tblW w:type="dxa" w:w="10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42"/>
        <w:gridCol w:w="3542"/>
        <w:gridCol w:w="3542"/>
      </w:tblGrid>
      <w:tr>
        <w:tc>
          <w:tcPr>
            <w:tcW w:type="dxa" w:w="3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1E2D4A" w:val="clear"/>
              <w:spacing w:after="16" w:before="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F0F0F0"/>
                <w:sz w:val="15"/>
                <w:szCs w:val="15"/>
              </w:rPr>
              <w:t xml:space="preserve">Ⅰ. 신의칙 계열</w:t>
            </w:r>
          </w:p>
          <w:tbl>
            <w:tblPr>
              <w:tblW w:type="dxa" w:w="3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42"/>
            </w:tblGrid>
            <w:tr>
              <w:tc>
                <w:tcPr>
                  <w:tcW w:type="dxa" w:w="3542"/>
                  <w:tcBorders>
                    <w:top w:val="single" w:color="DDD5C5" w:sz="2"/>
                    <w:left w:val="thick" w:color="B8A890" w:sz="6"/>
                    <w:bottom w:val="single" w:color="DDD5C5" w:sz="2"/>
                    <w:right w:val="single" w:color="DDD5C5" w:sz="2"/>
                  </w:tcBorders>
                  <w:shd w:fill="F7F4EE" w:val="clear"/>
                  <w:tcMar>
                    <w:top w:type="dxa" w:w="70"/>
                    <w:left w:type="dxa" w:w="110"/>
                    <w:bottom w:type="dxa" w:w="70"/>
                    <w:right w:type="dxa" w:w="90"/>
                  </w:tcMar>
                </w:tcPr>
                <w:p>
                  <w:pPr>
                    <w:pBdr>
                      <w:bottom w:val="single" w:color="C8BAA4" w:sz="2" w:space="4"/>
                    </w:pBdr>
                    <w:spacing w:after="1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1. 관습법</w:t>
                  </w:r>
                </w:p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관행, 법적확신, 정당성과 합리성</w:t>
                  </w:r>
                </w:p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종중: 자연발생적인 종족 집단</w:t>
                  </w:r>
                </w:p>
              </w:tc>
            </w:tr>
          </w:tbl>
          <w:p>
            <w:pPr>
              <w:spacing w:after="8" w:before="0"/>
            </w:pPr>
          </w:p>
          <w:tbl>
            <w:tblPr>
              <w:tblW w:type="dxa" w:w="3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42"/>
            </w:tblGrid>
            <w:tr>
              <w:tc>
                <w:tcPr>
                  <w:tcW w:type="dxa" w:w="3542"/>
                  <w:tcBorders>
                    <w:top w:val="single" w:color="DDD5C5" w:sz="2"/>
                    <w:left w:val="thick" w:color="B8A890" w:sz="6"/>
                    <w:bottom w:val="single" w:color="DDD5C5" w:sz="2"/>
                    <w:right w:val="single" w:color="DDD5C5" w:sz="2"/>
                  </w:tcBorders>
                  <w:shd w:fill="F7F4EE" w:val="clear"/>
                  <w:tcMar>
                    <w:top w:type="dxa" w:w="70"/>
                    <w:left w:type="dxa" w:w="110"/>
                    <w:bottom w:type="dxa" w:w="70"/>
                    <w:right w:type="dxa" w:w="90"/>
                  </w:tcMar>
                </w:tcPr>
                <w:p>
                  <w:pPr>
                    <w:pBdr>
                      <w:bottom w:val="single" w:color="C8BAA4" w:sz="2" w:space="4"/>
                    </w:pBdr>
                    <w:spacing w:after="1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2. 권리남용</w:t>
                  </w:r>
                </w:p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권리남용의 원칙: 객관적 요건(권리의 존재 및 행사, 실질적인 사회질서 위반. &gt; 이익형량, 전략적 행동의 유무, 귀책성 종합 고려(이.전.귀)) + 주관적 요건(상대방에게 고통을 주고 손해를 입히려는 목적, 가해의사. 주관적 요건은 권리자의 정당한 이익 결여라는 객관적 요건에 의해 추인될 수 있다)</w:t>
                  </w:r>
                </w:p>
              </w:tc>
            </w:tr>
          </w:tbl>
          <w:p>
            <w:pPr>
              <w:spacing w:after="8" w:before="0"/>
            </w:pPr>
          </w:p>
          <w:tbl>
            <w:tblPr>
              <w:tblW w:type="dxa" w:w="3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42"/>
            </w:tblGrid>
            <w:tr>
              <w:tc>
                <w:tcPr>
                  <w:tcW w:type="dxa" w:w="3542"/>
                  <w:tcBorders>
                    <w:top w:val="single" w:color="DDD5C5" w:sz="2"/>
                    <w:left w:val="thick" w:color="B8A890" w:sz="6"/>
                    <w:bottom w:val="single" w:color="DDD5C5" w:sz="2"/>
                    <w:right w:val="single" w:color="DDD5C5" w:sz="2"/>
                  </w:tcBorders>
                  <w:shd w:fill="F7F4EE" w:val="clear"/>
                  <w:tcMar>
                    <w:top w:type="dxa" w:w="70"/>
                    <w:left w:type="dxa" w:w="110"/>
                    <w:bottom w:type="dxa" w:w="70"/>
                    <w:right w:type="dxa" w:w="90"/>
                  </w:tcMar>
                </w:tcPr>
                <w:p>
                  <w:pPr>
                    <w:pBdr>
                      <w:bottom w:val="single" w:color="C8BAA4" w:sz="2" w:space="4"/>
                    </w:pBdr>
                    <w:spacing w:after="1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3. 실효의 원칙</w:t>
                  </w:r>
                </w:p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실효의 원칙: 상당 기간 권리 불행사 + 상대방의 신뢰 + 새삼 권리 행사 기대불가능 + 헹사제한 (상.신.기행.)</w:t>
                  </w:r>
                </w:p>
              </w:tc>
            </w:tr>
          </w:tbl>
          <w:p>
            <w:pPr>
              <w:spacing w:after="8" w:before="0"/>
            </w:pPr>
          </w:p>
          <w:tbl>
            <w:tblPr>
              <w:tblW w:type="dxa" w:w="3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42"/>
            </w:tblGrid>
            <w:tr>
              <w:tc>
                <w:tcPr>
                  <w:tcW w:type="dxa" w:w="3542"/>
                  <w:tcBorders>
                    <w:top w:val="single" w:color="DDD5C5" w:sz="2"/>
                    <w:left w:val="thick" w:color="B8A890" w:sz="6"/>
                    <w:bottom w:val="single" w:color="DDD5C5" w:sz="2"/>
                    <w:right w:val="single" w:color="DDD5C5" w:sz="2"/>
                  </w:tcBorders>
                  <w:shd w:fill="F7F4EE" w:val="clear"/>
                  <w:tcMar>
                    <w:top w:type="dxa" w:w="70"/>
                    <w:left w:type="dxa" w:w="110"/>
                    <w:bottom w:type="dxa" w:w="70"/>
                    <w:right w:type="dxa" w:w="90"/>
                  </w:tcMar>
                </w:tcPr>
                <w:p>
                  <w:pPr>
                    <w:pBdr>
                      <w:bottom w:val="single" w:color="C8BAA4" w:sz="2" w:space="4"/>
                    </w:pBdr>
                    <w:spacing w:after="1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4. 사정변경</w:t>
                  </w:r>
                </w:p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객관적 사정 +현저히 변경 + 당초의 내용대로 강제하는 것이 명백하게 부당 + 수정or 불가능한 경우 해소(객.현.명.수.해)</w:t>
                  </w:r>
                </w:p>
              </w:tc>
            </w:tr>
          </w:tbl>
          <w:p>
            <w:pPr>
              <w:spacing w:after="8" w:before="0"/>
            </w:pPr>
          </w:p>
          <w:tbl>
            <w:tblPr>
              <w:tblW w:type="dxa" w:w="3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42"/>
            </w:tblGrid>
            <w:tr>
              <w:tc>
                <w:tcPr>
                  <w:tcW w:type="dxa" w:w="3542"/>
                  <w:tcBorders>
                    <w:top w:val="single" w:color="DDD5C5" w:sz="2"/>
                    <w:left w:val="thick" w:color="B8A890" w:sz="6"/>
                    <w:bottom w:val="single" w:color="DDD5C5" w:sz="2"/>
                    <w:right w:val="single" w:color="DDD5C5" w:sz="2"/>
                  </w:tcBorders>
                  <w:shd w:fill="F7F4EE" w:val="clear"/>
                  <w:tcMar>
                    <w:top w:type="dxa" w:w="70"/>
                    <w:left w:type="dxa" w:w="110"/>
                    <w:bottom w:type="dxa" w:w="70"/>
                    <w:right w:type="dxa" w:w="90"/>
                  </w:tcMar>
                </w:tcPr>
                <w:p>
                  <w:pPr>
                    <w:pBdr>
                      <w:bottom w:val="single" w:color="C8BAA4" w:sz="2" w:space="4"/>
                    </w:pBdr>
                    <w:spacing w:after="1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5. 모순행위금지(금반언)</w:t>
                  </w:r>
                </w:p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신의칙의 적용으로 강행법규의 입법취지를 완적히 몰각시키는 경우 신의칙의 적용은 허용되지 않는다</w:t>
                  </w:r>
                </w:p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합법성의 원칙은 신의성실의 원칙보다 우월한 것</w:t>
                  </w:r>
                </w:p>
              </w:tc>
            </w:tr>
          </w:tbl>
          <w:p>
            <w:pPr>
              <w:spacing w:after="8" w:before="0"/>
            </w:pPr>
          </w:p>
        </w:tc>
        <w:tc>
          <w:tcPr>
            <w:tcW w:type="dxa" w:w="3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hd w:fill="1E2D4A" w:val="clear"/>
              <w:spacing w:after="16" w:before="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F0F0F0"/>
                <w:sz w:val="15"/>
                <w:szCs w:val="15"/>
              </w:rPr>
              <w:t xml:space="preserve">Ⅱ. §103 반사회질서행위</w:t>
            </w:r>
          </w:p>
          <w:tbl>
            <w:tblPr>
              <w:tblW w:type="dxa" w:w="3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42"/>
            </w:tblGrid>
            <w:tr>
              <w:tc>
                <w:tcPr>
                  <w:tcW w:type="dxa" w:w="3542"/>
                  <w:tcBorders>
                    <w:top w:val="single" w:color="DDD5C5" w:sz="2"/>
                    <w:left w:val="thick" w:color="B8A890" w:sz="6"/>
                    <w:bottom w:val="single" w:color="DDD5C5" w:sz="2"/>
                    <w:right w:val="single" w:color="DDD5C5" w:sz="2"/>
                  </w:tcBorders>
                  <w:shd w:fill="F7F4EE" w:val="clear"/>
                  <w:tcMar>
                    <w:top w:type="dxa" w:w="70"/>
                    <w:left w:type="dxa" w:w="110"/>
                    <w:bottom w:type="dxa" w:w="70"/>
                    <w:right w:type="dxa" w:w="90"/>
                  </w:tcMar>
                </w:tcPr>
                <w:p>
                  <w:pPr>
                    <w:pBdr>
                      <w:bottom w:val="single" w:color="C8BAA4" w:sz="2" w:space="4"/>
                    </w:pBdr>
                    <w:spacing w:after="1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6. 부동산 이중매매</w:t>
                  </w:r>
                </w:p>
                <w:p>
                  <w:pPr>
                    <w:spacing w:after="8" w:before="0"/>
                  </w:pPr>
                </w:p>
                <w:tbl>
                  <w:tblPr>
                    <w:tblW w:type="dxa" w:w="3322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2"/>
                  </w:tblGrid>
                  <w:tr>
                    <w:tc>
                      <w:tcPr>
                        <w:tcW w:type="dxa" w:w="3322"/>
                        <w:tcBorders>
                          <w:top w:val="single" w:color="D4AC0D" w:sz="1"/>
                          <w:left w:val="thick" w:color="B22222" w:sz="14"/>
                          <w:bottom w:val="single" w:color="D4AC0D" w:sz="1"/>
                          <w:right w:val="single" w:color="D4AC0D" w:sz="1"/>
                        </w:tcBorders>
                        <w:shd w:fill="FFFACD" w:val="clear"/>
                        <w:tcMar>
                          <w:top w:type="dxa" w:w="60"/>
                          <w:left w:type="dxa" w:w="11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after="6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AAAAAA"/>
                            <w:sz w:val="13"/>
                            <w:szCs w:val="13"/>
                          </w:rPr>
                          <w:t xml:space="preserve">判  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0D0D0D"/>
                            <w:sz w:val="20"/>
                            <w:szCs w:val="20"/>
                          </w:rPr>
                          <w:t xml:space="preserve">판례는 부동산 이중매매는 계약자유의 원칙에 비추어 유효함이 원칙이나 제2매수인이 매도인의 배임행위에 적극 가담한 경우에는 정의관념에 반하는 행위로서 반사회질서 행위로서 무효가 된다고 판시.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8" w:before="0"/>
            </w:pPr>
          </w:p>
          <w:p>
            <w:pPr>
              <w:shd w:fill="1E2D4A" w:val="clear"/>
              <w:spacing w:after="16" w:before="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F0F0F0"/>
                <w:sz w:val="15"/>
                <w:szCs w:val="15"/>
              </w:rPr>
              <w:t xml:space="preserve">Ⅲ. 취득시효</w:t>
            </w:r>
          </w:p>
          <w:tbl>
            <w:tblPr>
              <w:tblW w:type="dxa" w:w="3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42"/>
            </w:tblGrid>
            <w:tr>
              <w:tc>
                <w:tcPr>
                  <w:tcW w:type="dxa" w:w="3542"/>
                  <w:tcBorders>
                    <w:top w:val="single" w:color="DDD5C5" w:sz="2"/>
                    <w:left w:val="thick" w:color="B8A890" w:sz="6"/>
                    <w:bottom w:val="single" w:color="DDD5C5" w:sz="2"/>
                    <w:right w:val="single" w:color="DDD5C5" w:sz="2"/>
                  </w:tcBorders>
                  <w:shd w:fill="F7F4EE" w:val="clear"/>
                  <w:tcMar>
                    <w:top w:type="dxa" w:w="70"/>
                    <w:left w:type="dxa" w:w="110"/>
                    <w:bottom w:type="dxa" w:w="70"/>
                    <w:right w:type="dxa" w:w="90"/>
                  </w:tcMar>
                </w:tcPr>
                <w:p>
                  <w:pPr>
                    <w:pBdr>
                      <w:bottom w:val="single" w:color="C8BAA4" w:sz="2" w:space="4"/>
                    </w:pBdr>
                    <w:spacing w:after="1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7. 미분필 토지</w:t>
                  </w:r>
                </w:p>
                <w:p>
                  <w:pPr>
                    <w:spacing w:after="8" w:before="0"/>
                  </w:pPr>
                </w:p>
                <w:tbl>
                  <w:tblPr>
                    <w:tblW w:type="dxa" w:w="3322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2"/>
                  </w:tblGrid>
                  <w:tr>
                    <w:tc>
                      <w:tcPr>
                        <w:tcW w:type="dxa" w:w="3322"/>
                        <w:tcBorders>
                          <w:top w:val="single" w:color="D4AC0D" w:sz="1"/>
                          <w:left w:val="thick" w:color="B22222" w:sz="14"/>
                          <w:bottom w:val="single" w:color="D4AC0D" w:sz="1"/>
                          <w:right w:val="single" w:color="D4AC0D" w:sz="1"/>
                        </w:tcBorders>
                        <w:shd w:fill="FFFACD" w:val="clear"/>
                        <w:tcMar>
                          <w:top w:type="dxa" w:w="60"/>
                          <w:left w:type="dxa" w:w="11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after="6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AAAAAA"/>
                            <w:sz w:val="13"/>
                            <w:szCs w:val="13"/>
                          </w:rPr>
                          <w:t xml:space="preserve">判  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0D0D0D"/>
                            <w:sz w:val="20"/>
                            <w:szCs w:val="20"/>
                          </w:rPr>
                          <w:t xml:space="preserve">판례는 분필되지 않은 1필의 토지에 대해서도 그 부분이 다른 부분과 구분되어, 시효취득자의 점유하에 속한다는 것을 인식하기에 충분한 징표가 있고, 그 징표가 계속하여 존속한다면 취득시효가 인정된다(구.징.계)는 입장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8" w:before="0"/>
            </w:pPr>
          </w:p>
        </w:tc>
        <w:tc>
          <w:tcPr>
            <w:tcW w:type="dxa" w:w="35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1E2D4A" w:val="clear"/>
              <w:spacing w:after="16" w:before="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F0F0F0"/>
                <w:sz w:val="15"/>
                <w:szCs w:val="15"/>
              </w:rPr>
              <w:t xml:space="preserve">Ⅳ. 권리능력</w:t>
            </w:r>
          </w:p>
          <w:tbl>
            <w:tblPr>
              <w:tblW w:type="dxa" w:w="3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42"/>
            </w:tblGrid>
            <w:tr>
              <w:tc>
                <w:tcPr>
                  <w:tcW w:type="dxa" w:w="3542"/>
                  <w:tcBorders>
                    <w:top w:val="single" w:color="DDD5C5" w:sz="2"/>
                    <w:left w:val="thick" w:color="B8A890" w:sz="6"/>
                    <w:bottom w:val="single" w:color="DDD5C5" w:sz="2"/>
                    <w:right w:val="single" w:color="DDD5C5" w:sz="2"/>
                  </w:tcBorders>
                  <w:shd w:fill="F7F4EE" w:val="clear"/>
                  <w:tcMar>
                    <w:top w:type="dxa" w:w="70"/>
                    <w:left w:type="dxa" w:w="110"/>
                    <w:bottom w:type="dxa" w:w="70"/>
                    <w:right w:type="dxa" w:w="90"/>
                  </w:tcMar>
                </w:tcPr>
                <w:p>
                  <w:pPr>
                    <w:pBdr>
                      <w:bottom w:val="single" w:color="C8BAA4" w:sz="2" w:space="4"/>
                    </w:pBdr>
                    <w:spacing w:after="1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8. 태아의 권리능력</w:t>
                  </w:r>
                </w:p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불.상.유.인. 사x (불법행위, 상속, 유증, 인지 O 사인증여X 계약이라서)</w:t>
                  </w:r>
                </w:p>
                <w:p>
                  <w:pPr>
                    <w:spacing w:after="8" w:before="0"/>
                  </w:pPr>
                </w:p>
                <w:tbl>
                  <w:tblPr>
                    <w:tblW w:type="dxa" w:w="3322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2"/>
                  </w:tblGrid>
                  <w:tr>
                    <w:tc>
                      <w:tcPr>
                        <w:tcW w:type="dxa" w:w="3322"/>
                        <w:tcBorders>
                          <w:top w:val="single" w:color="D4AC0D" w:sz="1"/>
                          <w:left w:val="thick" w:color="B22222" w:sz="14"/>
                          <w:bottom w:val="single" w:color="D4AC0D" w:sz="1"/>
                          <w:right w:val="single" w:color="D4AC0D" w:sz="1"/>
                        </w:tcBorders>
                        <w:shd w:fill="FFFACD" w:val="clear"/>
                        <w:tcMar>
                          <w:top w:type="dxa" w:w="60"/>
                          <w:left w:type="dxa" w:w="11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after="6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AAAAAA"/>
                            <w:sz w:val="13"/>
                            <w:szCs w:val="13"/>
                          </w:rPr>
                          <w:t xml:space="preserve">判  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0D0D0D"/>
                            <w:sz w:val="20"/>
                            <w:szCs w:val="20"/>
                          </w:rPr>
                          <w:t xml:space="preserve">정지조건설과 해제조건설이 대립하나 판례는 특정한 권리에 있어서 태아가 권리를 취득한다고 하더라도 현행법상 이를 대행할 기관이 없어 태아로 있는 동안은 권리능력을 취득할 수 없다고 하여 정지조건설.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8" w:before="0"/>
            </w:pPr>
          </w:p>
          <w:tbl>
            <w:tblPr>
              <w:tblW w:type="dxa" w:w="3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42"/>
            </w:tblGrid>
            <w:tr>
              <w:tc>
                <w:tcPr>
                  <w:tcW w:type="dxa" w:w="3542"/>
                  <w:tcBorders>
                    <w:top w:val="single" w:color="DDD5C5" w:sz="2"/>
                    <w:left w:val="thick" w:color="B8A890" w:sz="6"/>
                    <w:bottom w:val="single" w:color="DDD5C5" w:sz="2"/>
                    <w:right w:val="single" w:color="DDD5C5" w:sz="2"/>
                  </w:tcBorders>
                  <w:shd w:fill="F7F4EE" w:val="clear"/>
                  <w:tcMar>
                    <w:top w:type="dxa" w:w="70"/>
                    <w:left w:type="dxa" w:w="110"/>
                    <w:bottom w:type="dxa" w:w="70"/>
                    <w:right w:type="dxa" w:w="90"/>
                  </w:tcMar>
                </w:tcPr>
                <w:p>
                  <w:pPr>
                    <w:pBdr>
                      <w:bottom w:val="single" w:color="C8BAA4" w:sz="2" w:space="4"/>
                    </w:pBdr>
                    <w:spacing w:after="1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9. 의사무능력자</w:t>
                  </w:r>
                </w:p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구체적, 개별적으로 판단. 행위의 일상적인 의미뿐만 아니라 법률적인 의미나 효과에 대하여도 이해할 수 있을 것을 요한다(판례).</w:t>
                  </w:r>
                </w:p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의사무능력자의 법률행위는 무효이고, 제141조 단서는 유추적용된다.</w:t>
                  </w:r>
                </w:p>
              </w:tc>
            </w:tr>
          </w:tbl>
          <w:p>
            <w:pPr>
              <w:spacing w:after="8" w:before="0"/>
            </w:pPr>
          </w:p>
          <w:p>
            <w:pPr>
              <w:shd w:fill="1E2D4A" w:val="clear"/>
              <w:spacing w:after="16" w:before="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F0F0F0"/>
                <w:sz w:val="15"/>
                <w:szCs w:val="15"/>
              </w:rPr>
              <w:t xml:space="preserve">Ⅴ. 제한능력자 — 미성년자</w:t>
            </w:r>
          </w:p>
          <w:tbl>
            <w:tblPr>
              <w:tblW w:type="dxa" w:w="3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42"/>
            </w:tblGrid>
            <w:tr>
              <w:tc>
                <w:tcPr>
                  <w:tcW w:type="dxa" w:w="3542"/>
                  <w:tcBorders>
                    <w:top w:val="single" w:color="DDD5C5" w:sz="2"/>
                    <w:left w:val="thick" w:color="B8A890" w:sz="6"/>
                    <w:bottom w:val="single" w:color="DDD5C5" w:sz="2"/>
                    <w:right w:val="single" w:color="DDD5C5" w:sz="2"/>
                  </w:tcBorders>
                  <w:shd w:fill="F7F4EE" w:val="clear"/>
                  <w:tcMar>
                    <w:top w:type="dxa" w:w="70"/>
                    <w:left w:type="dxa" w:w="110"/>
                    <w:bottom w:type="dxa" w:w="70"/>
                    <w:right w:type="dxa" w:w="90"/>
                  </w:tcMar>
                </w:tcPr>
                <w:p>
                  <w:pPr>
                    <w:pBdr>
                      <w:bottom w:val="single" w:color="C8BAA4" w:sz="2" w:space="4"/>
                    </w:pBdr>
                    <w:spacing w:after="1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10. 제한능력자 강행규정</w:t>
                  </w:r>
                </w:p>
                <w:p>
                  <w:pPr>
                    <w:spacing w:after="8" w:before="0"/>
                  </w:pPr>
                </w:p>
                <w:tbl>
                  <w:tblPr>
                    <w:tblW w:type="dxa" w:w="3322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2"/>
                  </w:tblGrid>
                  <w:tr>
                    <w:tc>
                      <w:tcPr>
                        <w:tcW w:type="dxa" w:w="3322"/>
                        <w:tcBorders>
                          <w:top w:val="single" w:color="D4AC0D" w:sz="1"/>
                          <w:left w:val="thick" w:color="B22222" w:sz="14"/>
                          <w:bottom w:val="single" w:color="D4AC0D" w:sz="1"/>
                          <w:right w:val="single" w:color="D4AC0D" w:sz="1"/>
                        </w:tcBorders>
                        <w:shd w:fill="FFFACD" w:val="clear"/>
                        <w:tcMar>
                          <w:top w:type="dxa" w:w="60"/>
                          <w:left w:type="dxa" w:w="11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after="6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AAAAAA"/>
                            <w:sz w:val="13"/>
                            <w:szCs w:val="13"/>
                          </w:rPr>
                          <w:t xml:space="preserve">判  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0D0D0D"/>
                            <w:sz w:val="20"/>
                            <w:szCs w:val="20"/>
                          </w:rPr>
                          <w:t xml:space="preserve">판례는 제한능력자제도는 거래의 안전을 희생시키는 것을 감수하면서 제한능력자 본인을 보호하는 데 그 목적을 두고 있는 강행규정으로서 이에 반하는 계약은 효력이 없다고 판시.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8" w:before="0"/>
            </w:pPr>
          </w:p>
          <w:tbl>
            <w:tblPr>
              <w:tblW w:type="dxa" w:w="3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42"/>
            </w:tblGrid>
            <w:tr>
              <w:tc>
                <w:tcPr>
                  <w:tcW w:type="dxa" w:w="3542"/>
                  <w:tcBorders>
                    <w:top w:val="single" w:color="DDD5C5" w:sz="2"/>
                    <w:left w:val="thick" w:color="B8A890" w:sz="6"/>
                    <w:bottom w:val="single" w:color="DDD5C5" w:sz="2"/>
                    <w:right w:val="single" w:color="DDD5C5" w:sz="2"/>
                  </w:tcBorders>
                  <w:shd w:fill="F7F4EE" w:val="clear"/>
                  <w:tcMar>
                    <w:top w:type="dxa" w:w="70"/>
                    <w:left w:type="dxa" w:w="110"/>
                    <w:bottom w:type="dxa" w:w="70"/>
                    <w:right w:type="dxa" w:w="90"/>
                  </w:tcMar>
                </w:tcPr>
                <w:p>
                  <w:pPr>
                    <w:pBdr>
                      <w:bottom w:val="single" w:color="C8BAA4" w:sz="2" w:space="4"/>
                    </w:pBdr>
                    <w:spacing w:after="1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11. 미성년자 법률행위</w:t>
                  </w:r>
                </w:p>
                <w:p>
                  <w:pPr>
                    <w:spacing w:after="8" w:before="0"/>
                  </w:pPr>
                </w:p>
                <w:tbl>
                  <w:tblPr>
                    <w:tblW w:type="dxa" w:w="3322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2"/>
                  </w:tblGrid>
                  <w:tr>
                    <w:tc>
                      <w:tcPr>
                        <w:tcW w:type="dxa" w:w="3322"/>
                        <w:tcBorders>
                          <w:top w:val="single" w:color="D4AC0D" w:sz="1"/>
                          <w:left w:val="thick" w:color="B22222" w:sz="14"/>
                          <w:bottom w:val="single" w:color="D4AC0D" w:sz="1"/>
                          <w:right w:val="single" w:color="D4AC0D" w:sz="1"/>
                        </w:tcBorders>
                        <w:shd w:fill="FFFACD" w:val="clear"/>
                        <w:tcMar>
                          <w:top w:type="dxa" w:w="60"/>
                          <w:left w:type="dxa" w:w="11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after="6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AAAAAA"/>
                            <w:sz w:val="13"/>
                            <w:szCs w:val="13"/>
                          </w:rPr>
                          <w:t xml:space="preserve">判  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0D0D0D"/>
                            <w:sz w:val="20"/>
                            <w:szCs w:val="20"/>
                          </w:rPr>
                          <w:t xml:space="preserve">미성년자가 법률행위를 함에는 법정대리인의 동의를 얻어야 하는바(제5조 1항 본문) 이는 묵시적으로도 가능하나, 미성년자가 동의를 얻지 않고 한 행위는 미성년자 본인 또는 법정대리인이 취소할 수 있다</w:t>
                        </w:r>
                      </w:p>
                    </w:tc>
                  </w:tr>
                </w:tbl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묵시적 동의 유무는 1)미성년자의 독자적인 소득의 범위, 2)계약의 내용 등을 고려한다</w:t>
                  </w:r>
                </w:p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미성년자가 신용카드 이용계약을 취소한 경우 매매계약은 유효하게 존속, 반환하여야 할 대상은 면제받은 물품대금채무 상당액</w:t>
                  </w:r>
                </w:p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법정대리의 경우는 원칙적으로 대리권의 범위에 제한이 없다(제920조).</w:t>
                  </w:r>
                </w:p>
              </w:tc>
            </w:tr>
          </w:tbl>
          <w:p>
            <w:pPr>
              <w:spacing w:after="8" w:before="0"/>
            </w:pPr>
          </w:p>
          <w:tbl>
            <w:tblPr>
              <w:tblW w:type="dxa" w:w="3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42"/>
            </w:tblGrid>
            <w:tr>
              <w:tc>
                <w:tcPr>
                  <w:tcW w:type="dxa" w:w="3542"/>
                  <w:tcBorders>
                    <w:top w:val="single" w:color="DDD5C5" w:sz="2"/>
                    <w:left w:val="thick" w:color="B8A890" w:sz="6"/>
                    <w:bottom w:val="single" w:color="DDD5C5" w:sz="2"/>
                    <w:right w:val="single" w:color="DDD5C5" w:sz="2"/>
                  </w:tcBorders>
                  <w:shd w:fill="F7F4EE" w:val="clear"/>
                  <w:tcMar>
                    <w:top w:type="dxa" w:w="70"/>
                    <w:left w:type="dxa" w:w="110"/>
                    <w:bottom w:type="dxa" w:w="70"/>
                    <w:right w:type="dxa" w:w="90"/>
                  </w:tcMar>
                </w:tcPr>
                <w:p>
                  <w:pPr>
                    <w:pBdr>
                      <w:bottom w:val="single" w:color="C8BAA4" w:sz="2" w:space="4"/>
                    </w:pBdr>
                    <w:spacing w:after="1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12. 이해상반행위</w:t>
                  </w:r>
                </w:p>
                <w:p>
                  <w:pPr>
                    <w:spacing w:after="8" w:before="0"/>
                  </w:pPr>
                </w:p>
                <w:tbl>
                  <w:tblPr>
                    <w:tblW w:type="dxa" w:w="3322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2"/>
                  </w:tblGrid>
                  <w:tr>
                    <w:tc>
                      <w:tcPr>
                        <w:tcW w:type="dxa" w:w="3322"/>
                        <w:tcBorders>
                          <w:top w:val="single" w:color="D4AC0D" w:sz="1"/>
                          <w:left w:val="thick" w:color="B22222" w:sz="14"/>
                          <w:bottom w:val="single" w:color="D4AC0D" w:sz="1"/>
                          <w:right w:val="single" w:color="D4AC0D" w:sz="1"/>
                        </w:tcBorders>
                        <w:shd w:fill="FFFACD" w:val="clear"/>
                        <w:tcMar>
                          <w:top w:type="dxa" w:w="60"/>
                          <w:left w:type="dxa" w:w="11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after="6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AAAAAA"/>
                            <w:sz w:val="13"/>
                            <w:szCs w:val="13"/>
                          </w:rPr>
                          <w:t xml:space="preserve">判  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0D0D0D"/>
                            <w:sz w:val="20"/>
                            <w:szCs w:val="20"/>
                          </w:rPr>
                          <w:t xml:space="preserve">판례는 행위의 객관적 성질상 친권자와 자 사이에 이해의 대립이 생길 우려가 있는 행위를 의미하며 친권자의 의도나 실질적으로 이해의 대립이 생겼는가는 묻지 않는다고 하여 형식적 판단설의 입장이다(객.이.의.실.형)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8" w:before="0"/>
            </w:pPr>
          </w:p>
          <w:tbl>
            <w:tblPr>
              <w:tblW w:type="dxa" w:w="3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42"/>
            </w:tblGrid>
            <w:tr>
              <w:tc>
                <w:tcPr>
                  <w:tcW w:type="dxa" w:w="3542"/>
                  <w:tcBorders>
                    <w:top w:val="single" w:color="DDD5C5" w:sz="2"/>
                    <w:left w:val="thick" w:color="B8A890" w:sz="6"/>
                    <w:bottom w:val="single" w:color="DDD5C5" w:sz="2"/>
                    <w:right w:val="single" w:color="DDD5C5" w:sz="2"/>
                  </w:tcBorders>
                  <w:shd w:fill="F7F4EE" w:val="clear"/>
                  <w:tcMar>
                    <w:top w:type="dxa" w:w="70"/>
                    <w:left w:type="dxa" w:w="110"/>
                    <w:bottom w:type="dxa" w:w="70"/>
                    <w:right w:type="dxa" w:w="90"/>
                  </w:tcMar>
                </w:tcPr>
                <w:p>
                  <w:pPr>
                    <w:pBdr>
                      <w:bottom w:val="single" w:color="C8BAA4" w:sz="2" w:space="4"/>
                    </w:pBdr>
                    <w:spacing w:after="10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13. §17 제한능력자 사기</w:t>
                  </w:r>
                </w:p>
                <w:p>
                  <w:pPr>
                    <w:spacing w:after="3" w:before="3" w:line="260" w:lineRule="auto"/>
                    <w:ind w:left="60"/>
                  </w:pPr>
                  <w:r>
                    <w:rPr>
                      <w:rFonts w:ascii="맑은 고딕" w:cs="맑은 고딕" w:eastAsia="맑은 고딕" w:hAnsi="맑은 고딕"/>
                      <w:color w:val="252525"/>
                      <w:sz w:val="15"/>
                      <w:szCs w:val="15"/>
                    </w:rPr>
                    <w:t xml:space="preserve">· 제17조: 요건- 속임수, 오인, 인과관계(속. 오. 인)</w:t>
                  </w:r>
                </w:p>
                <w:p>
                  <w:pPr>
                    <w:spacing w:after="8" w:before="0"/>
                  </w:pPr>
                </w:p>
                <w:tbl>
                  <w:tblPr>
                    <w:tblW w:type="dxa" w:w="3322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2"/>
                  </w:tblGrid>
                  <w:tr>
                    <w:tc>
                      <w:tcPr>
                        <w:tcW w:type="dxa" w:w="3322"/>
                        <w:tcBorders>
                          <w:top w:val="single" w:color="D4AC0D" w:sz="1"/>
                          <w:left w:val="thick" w:color="B22222" w:sz="14"/>
                          <w:bottom w:val="single" w:color="D4AC0D" w:sz="1"/>
                          <w:right w:val="single" w:color="D4AC0D" w:sz="1"/>
                        </w:tcBorders>
                        <w:shd w:fill="FFFACD" w:val="clear"/>
                        <w:tcMar>
                          <w:top w:type="dxa" w:w="60"/>
                          <w:left w:type="dxa" w:w="110"/>
                          <w:bottom w:type="dxa" w:w="60"/>
                          <w:right w:type="dxa" w:w="80"/>
                        </w:tcMar>
                      </w:tcPr>
                      <w:p>
                        <w:pPr>
                          <w:spacing w:after="6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AAAAAA"/>
                            <w:sz w:val="13"/>
                            <w:szCs w:val="13"/>
                          </w:rPr>
                          <w:t xml:space="preserve">判  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0D0D0D"/>
                            <w:sz w:val="20"/>
                            <w:szCs w:val="20"/>
                          </w:rPr>
                          <w:t xml:space="preserve">제한능력자가 속임수를 써서 자기를 능력자로 믿게 하거나 법정대리인의 동의가 있는 것으로 믿게 한 경우 취소할 수 없으나(민법 제17조), 판례는 적극적인 사기수단을 쓴 경우에 한한다는 입장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8" w:before="0"/>
            </w:pPr>
          </w:p>
        </w:tc>
      </w:tr>
    </w:tbl>
    <w:sectPr>
      <w:pgSz w:w="11906" w:h="16838" w:orient="portrait"/>
      <w:pgMar w:top="520" w:right="520" w:bottom="52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2026-05-26T07:24:59.356Z</dcterms:created>
  <dcterms:modified xsi:type="dcterms:W3CDTF">2026-05-26T07:24:59.356Z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