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2025년 제1차 변호사시험 모의시험 민사법 사례형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2C3E7F"/>
          <w:sz w:val="48"/>
          <w:szCs w:val="48"/>
        </w:rPr>
        <w:t xml:space="preserve">첨삭 리포트</w:t>
      </w:r>
    </w:p>
    <w:p>
      <w:pPr>
        <w:spacing w:after="40"/>
      </w:pPr>
      <w:r>
        <w:rPr>
          <w:rFonts w:ascii="맑은 고딕" w:cs="맑은 고딕" w:eastAsia="맑은 고딕" w:hAnsi="맑은 고딕"/>
          <w:color w:val="7F8C8D"/>
          <w:sz w:val="18"/>
          <w:szCs w:val="18"/>
        </w:rPr>
        <w:t xml:space="preserve">2026년 05월 25일  |  채점기준표(AKLS) 기준  |  세직 씨 / 스터디원 비교 분석</w:t>
      </w:r>
    </w:p>
    <w:p>
      <w:pPr>
        <w:pBdr>
          <w:bottom w:val="single" w:color="DDDDDD" w:sz="4"/>
        </w:pBdr>
        <w:spacing w:after="80" w:before="80"/>
      </w:pPr>
      <w:r>
        <w:t xml:space="preserve"/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6"/>
          <w:szCs w:val="26"/>
        </w:rPr>
        <w:t xml:space="preserve">① 문제별 예상 점수 (배점 350점 기준)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★ 표시는 결론 자체가 틀린 문제입니다. 빨간 셀은 세직 씨 결론 오류, 주황 셀은 스터디원 오류입니다.</w:t>
      </w:r>
    </w:p>
    <w:p>
      <w:pPr>
        <w:spacing w:after="12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800"/>
        <w:gridCol w:w="1800"/>
        <w:gridCol w:w="20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세직 씨 예상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스터디원 예상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1문의1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11~13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11~13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1문의2-1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0~3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10~13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★결론오류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1문의2-2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10~12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10~12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1문의3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7~11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9~12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1문의4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13~17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14~17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1문의5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15~18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13~17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1문의6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0~2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★결론오류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1문의7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0~3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5~9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★결론오류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1문의8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16~21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18~21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1문 소계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72~100점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85~113점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(배점 150점)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2문의1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10~14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11~14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★결론오류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2문의2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12~16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13~17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2문의3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9~12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10~12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2문의4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14~17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13~16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2문의5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17~21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18~21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2문 소계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62~80점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65~80점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(배점 100점)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3문의1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3~7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9~12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★결론오류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3문의2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22~27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3문의3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10~13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3~5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3문의4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20"/>
                <w:szCs w:val="20"/>
              </w:rPr>
              <w:t xml:space="preserve">0~0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스터디 0점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3문의5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0~3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★결론오류</w:t>
            </w:r>
          </w:p>
        </w:tc>
      </w:tr>
      <w:tr>
        <w:tc>
          <w:tcPr>
            <w:tcW w:type="dxa" w:w="19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3문 소계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50~68점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35~46점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(배점 100점)</w:t>
            </w:r>
          </w:p>
        </w:tc>
      </w:tr>
      <w:tr>
        <w:tc>
          <w:tcPr>
            <w:tcW w:type="dxa" w:w="19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총계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184~248점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185~239점</w:t>
            </w:r>
          </w:p>
        </w:tc>
        <w:tc>
          <w:tcPr>
            <w:tcW w:type="dxa" w:w="20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CF0F1"/>
                <w:sz w:val="20"/>
                <w:szCs w:val="20"/>
              </w:rPr>
              <w:t xml:space="preserve">만점 350점 기준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6"/>
          <w:szCs w:val="26"/>
        </w:rPr>
        <w:t xml:space="preserve">② 세직 씨 결론 오류 6개 — 최우선 보완 대상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아래 6문제는 결론 자체가 틀려 배점의 대부분을 잃은 문제입니다. 이 6개만 잡아도 득점률 60% 이상 안정화됩니다.</w:t>
      </w:r>
    </w:p>
    <w:p>
      <w:pPr>
        <w:spacing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1400"/>
        <w:gridCol w:w="1700"/>
        <w:gridCol w:w="1700"/>
        <w:gridCol w:w="21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쟁점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세직 씨 답안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정답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 판례·조문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1문의2-1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처분권주의·조건부판결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타당(인용)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처분권주의 위반·각하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대법원 91다6009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1문의6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명의신탁 손해발생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인용(손해 있음)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기각(손해 없음)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대법원 2022다266874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1문의7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명시적 일부청구·6개월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인용(시효 미완성)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기각(시효 완성)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대법원 2020다206625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2문의1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변제충당 금액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8,000만원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1억원(이자 먼저 충당)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민법 479조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3문의1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상호폐지청구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승소(인용)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패소(부정한 목적 추정 불가)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대법원 2003다12601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3문의5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미성년자 어음행위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지급거절 부당</w:t>
            </w:r>
          </w:p>
        </w:tc>
        <w:tc>
          <w:tcPr>
            <w:tcW w:type="dxa" w:w="1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지급거절 정당(물적항변)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어음법 물적항변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6"/>
          <w:szCs w:val="26"/>
        </w:rPr>
        <w:t xml:space="preserve">③ 세직 씨 vs 스터디원 비교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100"/>
        <w:gridCol w:w="2100"/>
        <w:gridCol w:w="13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쟁점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세직 씨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스터디원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우세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1문의2-1 (15점)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처분권주의 위반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완전 누락·결론 오류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✓ 정확히 파악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스터디원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1문의6 (10점)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명의신탁 손해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결론 오류(인용)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△ 결론 기각, 법리 상이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스터디원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1문의7 (15점)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시효 6개월 기산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결론 오류(인용)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△ 결론 기각, 법리 불완전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스터디원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3문의1 (15점)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상호폐지청구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결론 오류(승소)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✓ 정확(패소)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스터디원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3문의3 (15점)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자기주식 법리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✓ 상세 분석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△ 결론만 서술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세직 씨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3문의4 (25점)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퇴임이사·신주인수권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✓ 분석 완성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0점(모르겠어요)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세직 씨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3문의5 (15점)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물적항변 법리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결론 오류(부당)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△ 결론만(정당)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동점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2문의1 (20점)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민법 479조 변제충당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공통 누락</w:t>
            </w:r>
          </w:p>
        </w:tc>
        <w:tc>
          <w:tcPr>
            <w:tcW w:type="dxa" w:w="2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✗ 공통 누락</w:t>
            </w:r>
          </w:p>
        </w:tc>
        <w:tc>
          <w:tcPr>
            <w:tcW w:type="dxa" w:w="1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동점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6"/>
          <w:szCs w:val="26"/>
        </w:rPr>
        <w:t xml:space="preserve">④ 단권화 우선순위 TOP 10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이번 첨삭에서 도출된 핵심 암기 대상입니다. 1~6위는 결론 오류 문제와 직결됩니다.</w:t>
      </w:r>
    </w:p>
    <w:p>
      <w:pPr>
        <w:spacing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판례·조문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91다6009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피담보채무 발생 안함 전제 말소청구 = 조건부 판결 = 처분권주의 위반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2위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2022다266874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양자간 명의신탁 → 명의신탁자 소유권 유지 → 손해 없음 → 기각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3위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2020다206625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명시적 일부청구 → 잔부 최고효 → 전소 확정일부터 6개월 내 재소 필요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민법 479조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이자 있는 채무 변제충당 순서: 비용 → 이자 → 원금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2003다12601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다른 지역·업종 → 상호 부정한 목적 추정 불가 → 폐지청구 기각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어음법 물적항변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미성년자 어음행위 취소 = 물적항변 → 모든 소지인에게 대항 가능 → 지급거절 정당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2019다261381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경매취득자 ≠ 변론종결 후 승계인 → 기판력 미침 안 함 → 인용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89다카10385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담보·변제방법 목적 채권양도 → 본래채권 소멸하지 않음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2024다238640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대체물 이행불능 불가 원칙, 전보배상은 강제집행 불능·곤란 시만 예외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처분권주의 위반 3유형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①초과판결 ②조건부판결 ③누락판결 — 반드시 구분해 암기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6"/>
          <w:szCs w:val="26"/>
        </w:rPr>
        <w:t xml:space="preserve">⑤ 종합 총평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득점률 분석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세직 씨 중간값 216점(61.7%) / 스터디원 중간값 212점(60.6%). 결론 오류 6문제(배점 합계 90점)에서 약 75점을 실점하였으며, 이를 절반만 회복해도 득점률 70% 이상 진입 가능합니다.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7AE60"/>
          <w:sz w:val="20"/>
          <w:szCs w:val="20"/>
        </w:rPr>
        <w:t xml:space="preserve">세직 씨 강점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상법 3문의3(15점)·3문의4(25점)에서 스터디원 대비 +25점 이상 우위. 특히 3문의4(25점)은 스터디원 0점 대비 최대 차별화 구간입니다.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E67E22"/>
          <w:sz w:val="20"/>
          <w:szCs w:val="20"/>
        </w:rPr>
        <w:t xml:space="preserve">공통 약점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민법 479조 변제충당은 두 사람 모두 누락. 스터디에서 함께 정리 권장. 1문의2-1 처분권주의 조건부판결 유형이 세직 씨의 최우선 보완 과제입니다.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C3E7F"/>
          <w:sz w:val="20"/>
          <w:szCs w:val="20"/>
        </w:rPr>
        <w:t xml:space="preserve">다음 목표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단권화 TOP 6 판례 완전 암기 → 결론 오류 0건 목표. 달성 시 득점률 70% 이상(245점+) 진입 예상.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0"/>
      <w:jc w:val="center"/>
    </w:pPr>
    <w:r>
      <w:rPr>
        <w:rFonts w:ascii="맑은 고딕" w:cs="맑은 고딕" w:eastAsia="맑은 고딕" w:hAnsi="맑은 고딕"/>
        <w:color w:val="7F8C8D"/>
        <w:sz w:val="16"/>
        <w:szCs w:val="16"/>
      </w:rPr>
      <w:t xml:space="preserve">민사 사례형 첨삭  |  </w:t>
    </w:r>
    <w:r>
      <w:rPr>
        <w:rFonts w:ascii="맑은 고딕" w:cs="맑은 고딕" w:eastAsia="맑은 고딕" w:hAnsi="맑은 고딕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0"/>
      <w:jc w:val="right"/>
    </w:pPr>
    <w:r>
      <w:rPr>
        <w:rFonts w:ascii="맑은 고딕" w:cs="맑은 고딕" w:eastAsia="맑은 고딕" w:hAnsi="맑은 고딕"/>
        <w:color w:val="7F8C8D"/>
        <w:sz w:val="16"/>
        <w:szCs w:val="16"/>
      </w:rPr>
      <w:t xml:space="preserve">2025년 제1차 변호사시험 모의시험 민사법 사례형  |  첨삭 리포트  |  2026.05.25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2026-05-25T07:12:14.847Z</dcterms:created>
  <dcterms:modified xsi:type="dcterms:W3CDTF">2026-05-25T07:12:14.850Z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