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Ⅰ. 법원 · 관습법</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관습법 성립요건</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관행 + 법적 확신 + 정당성과 합리성</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관.법.정.합</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종중: 자연발생적인 종족 집단</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관습법상 법인격 인정</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점유취득시효 (1필 토지)</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분필 안 된 토지도 시효취득 가능</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요건: 구분 징표 + 점유 + 징표 계속 존속</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구.징.계</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분필되지 않은 1필의 토지에 대해서도 그 부분이 다른 부분과 구분되어, 시효취득자의 점유하에 속한다는 것을 인식하기에 충분한 징표가 있고, 그 징표가 계속하여 존속한다면 취득시효가 인정된다(구.징.계)는 입장</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구.징.계</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Ⅱ. 신의칙 파생원칙</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권리남용 금지</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객관적 요건: 권리 존재·행사 + 실질적 사회질서 위반</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이익형량, 전략적 행동 유무, 귀책성 종합고려(이.전.귀)</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주관적 요건: 가해의사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 객관적 요건에 의해 추인 가능</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이.전.귀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권리남용의 원칙: 객관적 요건(권리의 존재 및 행사, 실질적인 사회질서 위반. &gt; 이익형량, 전략적 행동의 유무, 귀책성 종합 고려(이.전.귀)) + 주관적 요건(상대방에게 고통을 주고 손해를 입히려는 목적, 가해의사. 주관적 요건은 권리자의 정당한 이익 결여라는 객관적 요건에 의해 추인될 수 있다)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주관적 요건 → 객관적 요건으로 추인 가능</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실효의 원칙</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상당 기간 권리 불행사 + 상대방의 신뢰 + 기대불가능 + 행사제한</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상.신.기행.</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실효의 원칙: 상당 기간 권리 불행사 + 상대방의 신뢰 + 새삼 권리 행사 기대불가능 + 헹사제한 (상.신.기행.)</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상.신.기행.</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사정변경의 원칙</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객관적 사정 + 현저히 변경 + 명백히 부당 + 수정·해소 불가</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객.현.명.수.해</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객관적 사정 +현저히 변경 + 당초의 내용대로 강제하는 것이 명백하게 부당 + 수정or 불가능한 경우 해소(객.현.명.수.해)</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모순행위금지(금반언)</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신의칙에서 파생</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0" w:before="0" w:line="276" w:lineRule="auto"/>
              <w:jc w:val="left"/>
            </w:pPr>
            <w:r>
              <w:rPr>
                <w:rFonts w:ascii="맑은 고딕" w:cs="맑은 고딕" w:eastAsia="맑은 고딕" w:hAnsi="맑은 고딕"/>
                <w:sz w:val="17"/>
                <w:szCs w:val="17"/>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신의칙의 한계</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합법성의 원칙 &gt; 신의칙</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강행법규 입법취지 완전히 몰각 → 신의칙 적용 불허</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신의칙의 적용으로 강행법규의 입법취지를 완적히 몰각시키는 경우 신의칙의 적용은 허용되지 않는다</w:t>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합법성의 원칙은 신의성실의 원칙보다 우월한 것</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Ⅲ. 태아</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태아의 권리능력</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불법행위 / 상속 / 유증 / 인지 → O</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사인증여 → X (계약이라서)</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불.상.유.인. 사x</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정지조건설 vs 해제조건설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판례: 정지조건설 (태아 기간 중 권리능력 취득 불가)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불.상.유.인. 사x (불법행위, 상속, 유증, 인지 O 사인증여X 계약이라서)</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정지조건설과 해제조건설이 대립하나 판례는 특정한 권리에 있어서 태아가 권리를 취득한다고 하더라도 현행법상 이를 대행할 기관이 없어 태아로 있는 동안은 권리능력을 취득할 수 없다고 하여 정지조건설.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정지조건설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Ⅳ. 의사무능력자</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판단기준</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구체적·개별적으로 판단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일상적 의미 + 법률적 의미·효과 이해 여부</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효과</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절대적 무효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제141조 단서 유추적용</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구체적, 개별적으로 판단. 행위의 일상적인 의미뿐만 아니라 법률적인 의미나 효과에 대하여도 이해할 수 있을 것을 요한다(판례).</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의사무능력자의 법률행위는 무효이고, 제141조 단서는 유추적용된다.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Ⅴ. 제한능력자 · 미성년자</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제한능력자 제도의 성격</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강행규정 (위반계약 효력 없음)</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거래 안전 희생 → 본인 보호 목적</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제한능력자제도는 거래의 안전을 희생시키는 것을 감수하면서 제한능력자 본인을 보호하는 데 그 목적을 두고 있는 강행규정으로서 이에 반하는 계약은 효력이 없다고 판시. </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강행규정</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미성년자 법률행위 (제5조)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원칙: 법정대리인의 동의 (묵시적 가능)</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미동의 행위 → 본인 또는 법정대리인 취소 가능</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묵시적 동의 판단: ①독자적 소득 범위 ②계약 내용</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미성년자가 법률행위를 함에는 법정대리인의 동의를 얻어야 하는바(제5조 1항 본문) 이는 묵시적으로도 가능하나, 미성년자가 동의를 얻지 않고 한 행위는 미성년자 본인 또는 법정대리인이 취소할 수 있다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묵시적 동의 유무는 1)미성년자의 독자적인 소득의 범위, 2)계약의 내용 등을 고려한다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신용카드 계약 취소의 효과</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신용카드 이용계약 취소 → 매매계약 유효 존속</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반환 대상: 면제받은 물품대금채무 상당액</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미성년자가 신용카드 이용계약을 취소한 경우 매매계약은 유효하게 존속, 반환하여야 할 대상은 면제받은 물품대금채무 상당액</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친권자의 대리권 (제920조)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법정대리: 대리권 범위 제한 없음</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이해충돌 행위 판단 — 형식적 판단설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객관적 성질에 의해 판단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친권자 의도·실질적 이해대립 여부 불문</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객.이.의.실.형</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행위의 객관적 성질상 친권자와 자 사이에 이해의 대립이 생길 우려가 있는 행위를 의미하며 친권자의 의도나 실질적으로 이해의 대립이 생겼는가는 묻지 않는다고 하여 형식적 판단설의 입장이다(객.이.의.실.형)</w:t>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법정대리의 경우는 원칙적으로 대리권의 범위에 제한이 없다(제920조).</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제17조 (속임수) — 취소권 배제</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요건: 속.오.인</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속임수 + 오인 + 인과관계</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판례: 적극적 사기수단 필요 → 협의설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동의서 위조 → 협의설 무관하게 속임수 해당</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제한능력자가 속임수를 써서 자기를 능력자로 믿게 하거나 법정대리인의 동의가 있는 것으로 믿게 한 경우 취소할 수 없으나(민법 제17조), 판례는 적극적인 사기수단을 써야 속임수에 해당한다고 판시하여 협의설의 입장이다.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미성년자가 법정대리인의 동위서를 위좋나 사안이므로 학설 대립에 상관없이 제17조 속임수에 해당한다.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협의설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Ⅵ. 법인</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문제풀이 구조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확정적 무효사유: 제34조, 제276조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유동적 무효사유: 제41, 62, 60, 126조, 남용(제107조1항단서)</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대표권 관련 조문: 제58, 59, 60, 62조</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0" w:before="0" w:line="276" w:lineRule="auto"/>
              <w:jc w:val="left"/>
            </w:pPr>
            <w:r>
              <w:rPr>
                <w:rFonts w:ascii="맑은 고딕" w:cs="맑은 고딕" w:eastAsia="맑은 고딕" w:hAnsi="맑은 고딕"/>
                <w:sz w:val="17"/>
                <w:szCs w:val="17"/>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법인의 권리능력 (제34조)</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정관에서 정한 목적 범위 내로 제한</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판단: 객관적·추상적 (주관적·구체적 X)</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객.추.주.구</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법인의 권리능력은 정관에서 정한 목적 범위 내로 제한되는바(제34조), 판례는 목적 수행에 필요한지 여부는 행위의 객관적 성질에 따라 추상적으로 판단할 것이지 행위자의 주관적 구체적 의사에 따라 판단할 것은 아니다라고 판시(객.추.주.구)</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객.추.주.구</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법인의 불법행위능력 (제35조)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요건: 대.직.불</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대표기관의 행위</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직무에 관한 행위: 외형이론 적용</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(객관적·추상적 판단 + 외형상 직무집행행위 포함)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 상대방 악의·중과실 시 외형이론 적용배제</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불법행위의 일반적 요건</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직무에 관한 행위인지 여부는 주관적 구체적으로 판단할 것이 아니라 객관적 추상적으로 판단하여야 하며, 외형상 대표기관의 직무집행행위라고 볼 수 있는 행위를 포함한다고 하여 외형이론의 입장이다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외형이론</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상대방이 악의거나 중대한 과실이 있는 경우 외형이론이 적용배제된다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Ⅶ. 법률행위 해석 · 반사회질서</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자연적 해석</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형식적 문구 &lt; 쌍방 당사자의 진정한 의사</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계.형.쌍.진</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(계.형.쌍.진) 계약의 해석에 있어서는 형식적인 문구에만 얽매여서는 아니되고 쌍방 당사자의 진정한 의사가 무엇인가를 탐구하여야 하는 것</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계.형.쌍.진</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개별 강행규정 위반과 제103조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구별설: 강행규정 위반 ≠ 항상 제103조 위반</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개별 강행규정에 위반하더라도 항상 제103조 위반이 되는 것은 아니라고 보아 구별설.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구별설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동기의 불법</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원칙: 의사표시 구성요소 X → 제103조 미해당</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예외: 표시·상대방에게 알려진 경우 → 제103조 위반</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동기는 의사표시의 구성요소가 아니므로 원칙적으로 제103조에 해당하지 않으나, 판례는 표시되거나 상대방에게 알려진 동기가 반사회질서적인 경우에 제103조 위반이라는 입장이다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반사회질서 법률행위의 효과</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누구든지 무효 주장 가능 (이익 있는 자)</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급부 → 불법원인급여(제746조) → 소유권 상대방 귀속</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단, 상대방이 제3자에게 물권적 청구권 행사 불가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반사회질서 법률행위의 무효는 이를 주장할 이익이 있는 자는 누구든지 주장할 수 있다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반사회질서 법률행위로 인한 급부의 경우 제746조의 불법원인급여에 해당하여 반사적 효과로서 상대방에게 그 소유권이 귀속된다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그러나 불법원인급여를 받은 상대방이 제3자에게 소유권에 기한 물권적 청구권을 행사할 수 있는 것은 아니다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이중매매와 반사회질서</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원칙: 유효 (계약자유)</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예외: 제2매수인의 적극적 가담 → 무효</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부동산 이중매매는 계약자유의 원칙에 비추어 유효함이 원칙이나 제2매수인이 매도인의 배임행위에 적극 가담한 경우에는 정의관념에 반하는 행위로서 반사회질서 행위로서 무효가 된다고 판시.</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적극 가담 → 반사회질서 무효</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Ⅷ. 의사표시</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제107조 비진의표시 (의.표.알)</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요건</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의사표시의 존재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표시와 진의의 불일치</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표의자가 그 사실을 알고 있을 것</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제107조2항 제3자: 선의면 충분 (무과실 불요)</w:t>
            </w:r>
          </w:p>
          <w:p>
            <w:pPr>
              <w:spacing w:after="0" w:before="0" w:line="276" w:lineRule="auto"/>
              <w:jc w:val="left"/>
            </w:pPr>
            <w:r>
              <w:rPr>
                <w:rFonts w:ascii="맑은 고딕" w:cs="맑은 고딕" w:eastAsia="맑은 고딕" w:hAnsi="맑은 고딕"/>
                <w:sz w:val="4"/>
                <w:szCs w:val="4"/>
              </w:rPr>
              <w:t xml:space="preserve"/>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107~110조 제3자 모두: 선의면 충분, 무과실 불요</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진의의 의미와 관련하여 판례는 특정한 내용의 의사표시를 하고자 하는 표의자의 생각을 말하는 것이지 표의자가 진정으로 마음으로 바라는 사항을 뜻하는 것은 아니다라고 판시(진.마.바).</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진.마.바</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선의면 충분하고 무과실까지는 요구되지 않는다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제108조 통정허위표시 (의.표.알.통)</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제3자의 범위</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당사자·포괄승계인 이외의 자</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허위표시로 형성된 법률관계 토대로 실질적·새로운·법률상 이해관계를 맺은 자</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허.형.실.새.법</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허위표시 ≠ 제746조의 불법</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108조 허위표시 자체가 제746조의 불법은 아니다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제108조 제2항의 제3자는 당사자 및 포괄승계인 이외의 자로서 허위표시에 의하여 외형상 형성된 법률관계를 토대로 1)실질적으로 2)새로운 3)법률상 이해관계를 맺은 자를 말한다(판례) (허.형.실.새.법)</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허.형.실.새.법</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제109조 착오취소 (착.중.중)</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요건</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착오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동기의 착오: 원칙 불인정</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   예외①: 동기 표시 → 동기표시설</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   예외②: 상대방이 동기 제공·유발 → 표시 불문 인정</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중요부분에 착오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   이중적 기준설: 주관적 현저성 + 객관적 현저성</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표의자에게 중대한 과실 없을 것</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   예외: 상대방이 착오를 알고 이용 → 중과실 있어도 취소</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착오취소 vs 하자담보책임</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경합 인정: 취지·요건·효과 구별</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취.요.효</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동기는 의사표시의 구성요소가 아니지만 판례는 동기를 의사표시의 내용으로 삼을 것을 상대방에게 표시하고, 착오를 이유로 계약을 취소할 수 있다고 하여 동기표시설의 입장이다.</w:t>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동기가 상대방으로부터 제공되거나 유발된 경우 판례는 동기의 표시 여부를 묻지 않고 취소를 인정한다.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이중적 기준설에 따라 주관적 현저성, 객관적 현저성이 모두 충족되어야 한다고 판시</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이중적 기준설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상대방이 표의자의 착오를 알고 이용한 경우 &gt; 중대한 과실이 있더라도 취소 가능</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취지가 서로 다르고, 요건과 효과도 구별된다(취.요.효)</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제110조 사기강박취소</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사기: 고.기.위.인</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고.기.위.인</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강박: 고.강.위.인</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고.강.위.인</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0" w:before="0" w:line="276" w:lineRule="auto"/>
              <w:jc w:val="left"/>
            </w:pPr>
            <w:r>
              <w:rPr>
                <w:rFonts w:ascii="맑은 고딕" w:cs="맑은 고딕" w:eastAsia="맑은 고딕" w:hAnsi="맑은 고딕"/>
                <w:sz w:val="17"/>
                <w:szCs w:val="17"/>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Ⅸ. 법률행위의 무효와 취소</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일부무효 (제137조)</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요건 (일.분.가)</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일체성 + 분할가능성</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무효부분 없더라도 법률행위 하였을 가정적 의사</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일.분.가.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제137조는 임의규정으로서 원칙적으로 사적자치의 원칙이 지배하는 여역에서 적용되므로, 나머지 부분을 무효로 한다면 당해 효력규정의 취지에 반하는 결과가 초래되는 경우에는 나머지 부분까지 무효로 된다고 할 수는 없다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(토.건.운명.의.경)일반적으로 토지와 그 지상의 건물은 법률적인 운명을 같이하는 것이 거래의 관행이고 당사자의 의사나 경제상의 관념에도 합치되는 것으로</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토.건.운명.의.경</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유동적 무효</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확정적 무효 vs 유동적 무효</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처음부터 허가 배제·잠탈 → 확정적 무효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불법원인급여(제746조): 복구 불인정</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처음부터 허가를 배제 잠탈하는 내용의 계약인 경우 처음부터 확정적으로 무효인 것으로서 유효로 될 여지가 없다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제746조는 사회적 타당성이 없는 행위(제103조)를 한 사람은 복구를 그 형식 여하여 불구하고 인정하지 않겠다는 이상을 표현한 것</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무효행위의 전환 (제138조)</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요건 (무.전.다)</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무효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전환의사 존재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다른 법률행위의 요건 충족</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무.전.다</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0" w:before="0" w:line="276" w:lineRule="auto"/>
              <w:jc w:val="left"/>
            </w:pPr>
            <w:r>
              <w:rPr>
                <w:rFonts w:ascii="맑은 고딕" w:cs="맑은 고딕" w:eastAsia="맑은 고딕" w:hAnsi="맑은 고딕"/>
                <w:sz w:val="17"/>
                <w:szCs w:val="17"/>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무효행위의 추인 (제139조) · 취소행위의 추인 (제144조)</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무효행위의 추인 (무.알.새)</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무효일 것</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무효임을 알고 추인</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새로운 법률행위의 요건 충족</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무권리자의 추인: 사적자치 원칙에 비추어 당연</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취소행위의 추인 (취.소.알) 제144조</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취소할 수 있는 법률행위</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취소원인 소멸 후</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알고 추인</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취소 후 추인 → 제139조 무효행위의 추인</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무권리자의 추인 "사적자치의 원칙에 비추어 당연하고"</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취소한 법률행위의 추인: 무효행위의 추인(제139조)의 요건과 효과로서 추인</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F0EDE8" w:val="clear"/>
            <w:tcMar>
              <w:top w:type="dxa" w:w="80"/>
              <w:left w:type="dxa" w:w="140"/>
              <w:bottom w:type="dxa" w:w="80"/>
              <w:right w:type="dxa" w:w="100"/>
            </w:tcMar>
          </w:tcPr>
          <w:p>
            <w:pPr>
              <w:spacing w:after="10" w:before="14" w:line="276" w:lineRule="auto"/>
              <w:jc w:val="left"/>
            </w:pPr>
            <w:r>
              <w:rPr>
                <w:rFonts w:ascii="맑은 고딕" w:cs="맑은 고딕" w:eastAsia="맑은 고딕" w:hAnsi="맑은 고딕"/>
                <w:b/>
                <w:bCs/>
                <w:i w:val="false"/>
                <w:iCs w:val="false"/>
                <w:color w:val="2C4A8A"/>
                <w:sz w:val="19"/>
                <w:szCs w:val="19"/>
              </w:rPr>
              <w:t xml:space="preserve">▶ 법정추인 (제145조)</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3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요건 (소.이.사)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취소원인 소멸</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이의 보류 없을 것</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법정추인 사유 해당</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소.이.사</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쌍무계약이 취소된 경우 선의의 매수인에게 제201조가 적용되어 과실수취권이 인정되는 이상 선의의 매도인에게도 제587조의 유추적용에 의하여 대금의 운용이익 내지 법정이자의 반환을 부정함이 형평에 맞다.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임대인은 임대차계약 존속 중 기한의 이익을 포기하고 임대차보증금반환 채권을 수동채권으로 하여 상계할 수 있고</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10746"/>
            <w:tcBorders>
              <w:top w:val="none" w:color="FFFFFF" w:sz="0"/>
              <w:left w:val="none" w:color="FFFFFF" w:sz="0"/>
              <w:bottom w:val="none" w:color="FFFFFF" w:sz="0"/>
              <w:right w:val="none" w:color="FFFFFF" w:sz="0"/>
            </w:tcBorders>
            <w:shd w:fill="1E2D4A" w:val="clear"/>
            <w:tcMar>
              <w:top w:type="dxa" w:w="80"/>
              <w:left w:type="dxa" w:w="140"/>
              <w:bottom w:type="dxa" w:w="80"/>
              <w:right w:type="dxa" w:w="100"/>
            </w:tcMar>
          </w:tcPr>
          <w:p>
            <w:pPr>
              <w:spacing w:after="60" w:before="60" w:line="276" w:lineRule="auto"/>
              <w:jc w:val="left"/>
            </w:pPr>
            <w:r>
              <w:rPr>
                <w:rFonts w:ascii="맑은 고딕" w:cs="맑은 고딕" w:eastAsia="맑은 고딕" w:hAnsi="맑은 고딕"/>
                <w:b/>
                <w:bCs/>
                <w:i w:val="false"/>
                <w:iCs w:val="false"/>
                <w:color w:val="FFFFFF"/>
                <w:sz w:val="24"/>
                <w:szCs w:val="24"/>
              </w:rPr>
              <w:t xml:space="preserve">Ⅹ. 소멸시효</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5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기산점</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"권리를 행사할 수 있는 때" = 법률상의 장애 없는 때</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사실상의 장애 → 시효 진행에 영향 없음</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소멸시효의 권리를 행사할 수 있는 때는 "법률상의 장애가 없음을 말하므로 사실상의 장애는 시효의 진행을 막지 못한다"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재판상 청구 — 응소에 의한 시효중단 (채.주.승)</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채무자가 제기한 소송에서</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② 응소하여 적극적으로 권리를 주장하여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③ 승소한 경우 → 제170조 재판상 청구 해당</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"자신이 권리 위에 잠자는 자가 아님을 표명"</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예외: 제3취득자·물상보증인의 응소 → X</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"자신이 권리 위에 잠자는 자가 아님을 표명"</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1)채무자가 제기한 소송에서, 2)응소하여 적극적으로 권리를 주장하여, 3)승소한 경우는 제170조의 재판상 청구에 해당하여 시효가 중단된다(채.주.승)</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채.주.승</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"담보물의 제3취득자나 물상보증인 등 시효 이익을 원용할 수 있는 지위에 있으나 직접 의무를 부담하지 아니하는 자"가 제기한 소송에서의 응소는 x</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채권자대위소송과 시효중단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대위소송 → 시효중단 효력 유지</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채권양도 후 양도인 청구 기각 → 양수인 6월 내 청구 시 최초 청구 시점부터 중단</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시효중단의 효력은 특정승계인에게도 미치는 점(제169조), 원고를 권리 위에 잠자는 자로 볼 수 없는 점에 비추어볼 때 당초의 채권자대위소송으로 인한 시효중단의 효력이 소멸하지 않는다.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소송 중에 채무자가 채권양도의 효력을 인정하는 등의 사정으로 인하여 채권양도인의 청구가 기각된 경우 시효중단의 효력이 없어지나, 이 경우에도 채권양수인이 그로부터 6월 내에 채무자를 상대로 재판상의 청구 등을 하면 채권양도인이 최초의 재판상 청구를 한 때부터 시효가 중단된다.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추심채권자와 시효중단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채무자의 시효중단 효력 → 추심채권자에게도 미침</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주.집.수.추.추.추.추.</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채무자가 권리주체의 지위에서 한 시효중단의 효력은 집행법원의 수권에 따라 피압류채권에 대한 추심권능을 부여받아 일종의 추심기관으로서 그 채권을 추심하는 추심채권자에게도 미친다(주.집.수.추.추.추.추.)</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주.집.수.추.추.추.추.</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보증채무와 주채무 시효연장</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연장부정설: 주채무 시효기간 연장 → 보증채무 미침 X</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이유: 별개 채무 + 제440조는 채권자 보호 특별규정</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담보물 제3취득자·물상보증인</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주채무 시효연장 → 담보물권에도 미침</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별개 독립 채무 X, 변제 책임만 부담</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연장부정설의 입장인바, 보증채무가 주채무에 부종한다 하더라도 양자는 별개의 채무이고, 제440조의 의미는 보증채무의 부종성에 기인한 것이라기보다는 채권자 보호를 위한 특별규정이기에 주채무의 소멸시효기간 연장은 보증채무에 대하여 미치지 않는다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담보목적물의 제3취득자 또는 물상보증인은 별개의 독립된 채무를 부담하는 것이 아니라 단지 채무자의 채무를 변제할 책임을 부담하므로 주채무의 소멸시효 연장이 담보물권에도 미친다.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압류·가압류·가처분에 의한 시효중단</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요건: 집.유.취.리.</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① 집행될 것  ② 유효할 것  ③ 취소 안 될 것  ④ 시효이익 받을 자에게</w:t>
            </w:r>
          </w:p>
          <w:p>
            <w:pPr>
              <w:spacing w:after="0" w:before="0" w:line="276" w:lineRule="auto"/>
              <w:jc w:val="left"/>
            </w:pPr>
            <w:r>
              <w:rPr>
                <w:rFonts w:ascii="맑은 고딕" w:cs="맑은 고딕" w:eastAsia="맑은 고딕" w:hAnsi="맑은 고딕"/>
                <w:sz w:val="6"/>
                <w:szCs w:val="6"/>
              </w:rPr>
              <w:t xml:space="preserve"/>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집행 신청 시 소급하여 시효중단 (제265조 유추)</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집행불능 상태 → 시효중단 효력 인정</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가압류 등은 집행이 되는 것을 전제로 민사소송법 제265조를 유추적용하여 재판상 청구의 소제기와 유사하게 집행을 신청한 때에 소급하여 시효중단의 효력이 발생한다고 한다</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집.유.취.리.</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집행에 착수한 이상 집행불능상태가 된 경우에도 시효중단의 효력은 인정된다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소멸시효 원용권자</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일반채권자: 독자적 원용 불가</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대위원용 허용</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단, 채무자가 시효이익 포기 시 → 일반채권자도 원용 불가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채무자에 대한 일반채권자는 채권자의 지위에서 독자적으로 소멸시효의 완성을 주장할 수 없다</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판례에 따르면 대위원용이 허용되나 채무자가 시효이익을 적극적으로 포기한 때에는 채무자에 대한 일반채권자는 다른채권자의 채무자에 대한 채권에 대해 소멸시효를 원용할 수 없게 된다.</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시효이익의 포기 — 전합 추정법리 폐기</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종래: 포기 유사 행위 → 악의 추정</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전합: 추정법리 폐기 (공.법.경.)</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이유: ①경험칙 어긋남 ②채무승인(관념통지) vs 포기(의사표시) 구별 ③법적안정성·공정성</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공.법.경.</w:t>
            </w:r>
          </w:p>
          <w:p>
            <w:pPr>
              <w:spacing w:after="0" w:before="0" w:line="276" w:lineRule="auto"/>
              <w:jc w:val="left"/>
            </w:pPr>
            <w:r>
              <w:rPr>
                <w:rFonts w:ascii="맑은 고딕" w:cs="맑은 고딕" w:eastAsia="맑은 고딕" w:hAnsi="맑은 고딕"/>
                <w:sz w:val="6"/>
                <w:szCs w:val="6"/>
              </w:rPr>
              <w:t xml:space="preserve"/>
            </w:r>
          </w:p>
          <w:p>
            <w:pPr>
              <w:spacing w:after="10" w:before="20" w:line="276" w:lineRule="auto"/>
              <w:jc w:val="left"/>
            </w:pPr>
            <w:r>
              <w:rPr>
                <w:rFonts w:ascii="맑은 고딕" w:cs="맑은 고딕" w:eastAsia="맑은 고딕" w:hAnsi="맑은 고딕"/>
                <w:b/>
                <w:bCs/>
                <w:i w:val="false"/>
                <w:iCs w:val="false"/>
                <w:color w:val="2C4A8A"/>
                <w:sz w:val="19"/>
                <w:szCs w:val="19"/>
              </w:rPr>
              <w:t xml:space="preserve">포기의 효과</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상대적 효과</w:t>
            </w:r>
          </w:p>
          <w:p>
            <w:pPr>
              <w:spacing w:after="0" w:before="8" w:line="276" w:lineRule="auto"/>
              <w:jc w:val="left"/>
            </w:pPr>
            <w:r>
              <w:rPr>
                <w:rFonts w:ascii="맑은 고딕" w:cs="맑은 고딕" w:eastAsia="맑은 고딕" w:hAnsi="맑은 고딕"/>
                <w:b w:val="false"/>
                <w:bCs w:val="false"/>
                <w:i w:val="false"/>
                <w:iCs w:val="false"/>
                <w:color w:val="333333"/>
                <w:sz w:val="17"/>
                <w:szCs w:val="17"/>
              </w:rPr>
              <w:t xml:space="preserve">포기자와 법률관계 형성한 자 → 포기 효력 부정 불가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종래판례는 시효완성후 시효이익을 포기하는 듯한 행위가 있으면 시효완성 사실에 대한 악의를 추정하였으나(추정 법리), 최근 전합은 경험칙에 어긋나고, 관념에 통지에 불과한 채무승인과 의사표시에 해당하는 시효이익의 포기는 법적성질이 구별된다는 점, 법적안정성과 공정성에 어긋난다는 점에서 추정 법리를 폐기하였다(공.법.경.)</w:t>
            </w:r>
          </w:p>
          <w:p>
            <w:pPr>
              <w:spacing w:after="0" w:before="4"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B22222"/>
                <w:sz w:val="17"/>
                <w:szCs w:val="17"/>
              </w:rPr>
              <w:t xml:space="preserve">공.법.경.</w:t>
            </w:r>
          </w:p>
          <w:p>
            <w:pPr>
              <w:spacing w:after="0" w:before="0" w:line="276" w:lineRule="auto"/>
              <w:jc w:val="left"/>
            </w:pPr>
            <w:r>
              <w:rPr>
                <w:rFonts w:ascii="맑은 고딕" w:cs="맑은 고딕" w:eastAsia="맑은 고딕" w:hAnsi="맑은 고딕"/>
                <w:sz w:val="6"/>
                <w:szCs w:val="6"/>
              </w:rPr>
              <w:t xml:space="preserve"/>
            </w:r>
          </w:p>
          <w:p>
            <w:pPr>
              <w:spacing w:after="8" w:before="8" w:line="276" w:lineRule="auto"/>
              <w:jc w:val="left"/>
            </w:pPr>
            <w:r>
              <w:rPr>
                <w:rFonts w:ascii="맑은 고딕" w:cs="맑은 고딕" w:eastAsia="맑은 고딕" w:hAnsi="맑은 고딕"/>
                <w:b w:val="false"/>
                <w:bCs w:val="false"/>
                <w:i w:val="false"/>
                <w:iCs w:val="false"/>
                <w:color w:val="1A1A2E"/>
                <w:sz w:val="17"/>
                <w:szCs w:val="17"/>
              </w:rPr>
              <w:t xml:space="preserve">판례는 시효이익을 이미 포기한 자와의 법률관계를 통하여 비로소 시효이익을 원용할 이해관계를 형성한 자는 이미 이루어진 시효이익의 포기의 효력을 부정할 수는 없다고 판시</w:t>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4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5300"/>
            <w:tcBorders>
              <w:top w:val="single" w:color="D0C8B8" w:sz="2"/>
              <w:left w:val="none" w:color="FFFFFF" w:sz="0"/>
              <w:bottom w:val="single" w:color="D0C8B8" w:sz="2"/>
              <w:right w:val="single" w:color="D0C8B8" w:sz="2"/>
            </w:tcBorders>
            <w:shd w:fill="F2EFE7" w:val="clear"/>
            <w:tcMar>
              <w:top w:type="dxa" w:w="80"/>
              <w:left w:type="dxa" w:w="140"/>
              <w:bottom w:type="dxa" w:w="80"/>
              <w:right w:type="dxa" w:w="100"/>
            </w:tcMar>
            <w:vAlign w:val="top"/>
          </w:tcPr>
          <w:p>
            <w:pPr>
              <w:spacing w:after="10" w:before="20" w:line="276" w:lineRule="auto"/>
              <w:jc w:val="left"/>
            </w:pPr>
            <w:r>
              <w:rPr>
                <w:rFonts w:ascii="맑은 고딕" w:cs="맑은 고딕" w:eastAsia="맑은 고딕" w:hAnsi="맑은 고딕"/>
                <w:b/>
                <w:bCs/>
                <w:i w:val="false"/>
                <w:iCs w:val="false"/>
                <w:color w:val="2C4A8A"/>
                <w:sz w:val="19"/>
                <w:szCs w:val="19"/>
              </w:rPr>
              <w:t xml:space="preserve">소멸시효의 남용</w:t>
            </w:r>
          </w:p>
          <w:p>
            <w:pPr>
              <w:spacing w:after="0" w:before="8" w:line="276" w:lineRule="auto"/>
              <w:jc w:val="left"/>
            </w:pPr>
            <w:r>
              <w:rPr>
                <w:rFonts w:ascii="맑은 고딕" w:cs="맑은 고딕" w:eastAsia="맑은 고딕" w:hAnsi="맑은 고딕"/>
                <w:b/>
                <w:bCs/>
                <w:i w:val="false"/>
                <w:iCs w:val="false"/>
                <w:color w:val="1A1A2E"/>
                <w:sz w:val="17"/>
                <w:szCs w:val="17"/>
              </w:rPr>
              <w:t xml:space="preserve">요건: 불.행.장  신.부.</w:t>
            </w:r>
          </w:p>
          <w:p>
            <w:pPr>
              <w:spacing w:after="0" w:before="8" w:line="276" w:lineRule="auto"/>
              <w:jc w:val="left"/>
            </w:pPr>
            <w:r>
              <w:rPr>
                <w:rFonts w:ascii="맑은 고딕" w:cs="맑은 고딕" w:eastAsia="맑은 고딕" w:hAnsi="맑은 고딕"/>
                <w:b/>
                <w:bCs/>
                <w:i w:val="false"/>
                <w:iCs w:val="false"/>
                <w:color w:val="B22222"/>
                <w:sz w:val="17"/>
                <w:szCs w:val="17"/>
              </w:rPr>
              <w:t xml:space="preserve">→ </w:t>
            </w:r>
            <w:r>
              <w:rPr>
                <w:rFonts w:ascii="맑은 고딕" w:cs="맑은 고딕" w:eastAsia="맑은 고딕" w:hAnsi="맑은 고딕"/>
                <w:b/>
                <w:bCs/>
                <w:i w:val="false"/>
                <w:iCs w:val="false"/>
                <w:color w:val="1A1A2E"/>
                <w:sz w:val="17"/>
                <w:szCs w:val="17"/>
              </w:rPr>
              <w:t xml:space="preserve">불.행.장  신.부.</w:t>
            </w:r>
          </w:p>
        </w:tc>
        <w:tc>
          <w:tcPr>
            <w:tcW w:type="dxa" w:w="5446"/>
            <w:tcBorders>
              <w:top w:val="single" w:color="D0C8B8" w:sz="2"/>
              <w:left w:val="single" w:color="B22222" w:sz="8"/>
              <w:bottom w:val="single" w:color="D0C8B8" w:sz="2"/>
              <w:right w:val="none" w:color="FFFFFF" w:sz="0"/>
            </w:tcBorders>
            <w:shd w:fill="FFFDF0" w:val="clear"/>
            <w:tcMar>
              <w:top w:type="dxa" w:w="80"/>
              <w:left w:type="dxa" w:w="160"/>
              <w:bottom w:type="dxa" w:w="80"/>
              <w:right w:type="dxa" w:w="100"/>
            </w:tcMar>
            <w:vAlign w:val="top"/>
          </w:tcPr>
          <w:p>
            <w:pPr>
              <w:spacing w:after="0" w:before="0" w:line="276" w:lineRule="auto"/>
              <w:jc w:val="left"/>
            </w:pPr>
            <w:r>
              <w:rPr>
                <w:rFonts w:ascii="맑은 고딕" w:cs="맑은 고딕" w:eastAsia="맑은 고딕" w:hAnsi="맑은 고딕"/>
                <w:sz w:val="17"/>
                <w:szCs w:val="17"/>
              </w:rPr>
              <w:t xml:space="preserve"/>
            </w:r>
          </w:p>
        </w:tc>
      </w:tr>
    </w:tbl>
    <w:tbl>
      <w:tblPr>
        <w:tblW w:type="dxa" w:w="10746"/>
        <w:tblBorders>
          <w:top w:val="none" w:color="FFFFFF" w:sz="0"/>
          <w:left w:val="none" w:color="FFFFFF" w:sz="0"/>
          <w:bottom w:val="none" w:color="FFFFFF" w:sz="0"/>
          <w:right w:val="none" w:color="FFFFFF" w:sz="0"/>
          <w:insideH w:val="single" w:color="auto" w:sz="4"/>
          <w:insideV w:val="single" w:color="auto" w:sz="4"/>
        </w:tblBorders>
      </w:tblPr>
      <w:tblGrid>
        <w:gridCol w:w="100"/>
      </w:tblGrid>
      <w:tr>
        <w:trPr>
          <w:trHeight w:val="80" w:hRule="exact"/>
        </w:trPr>
        <w:tc>
          <w:tcPr>
            <w:tcW w:type="dxa" w:w="10746"/>
            <w:tcBorders>
              <w:top w:val="none" w:color="FFFFFF" w:sz="0"/>
              <w:left w:val="none" w:color="FFFFFF" w:sz="0"/>
              <w:bottom w:val="none" w:color="FFFFFF" w:sz="0"/>
              <w:right w:val="none" w:color="FFFFFF" w:sz="0"/>
            </w:tcBorders>
          </w:tcPr>
          <w:p>
            <w:pPr>
              <w:spacing w:after="0" w:before="0" w:line="276" w:lineRule="auto"/>
              <w:jc w:val="left"/>
            </w:pPr>
            <w:r>
              <w:rPr>
                <w:rFonts w:ascii="맑은 고딕" w:cs="맑은 고딕" w:eastAsia="맑은 고딕" w:hAnsi="맑은 고딕"/>
                <w:sz w:val="6"/>
                <w:szCs w:val="6"/>
              </w:rPr>
              <w:t xml:space="preserve"/>
            </w:r>
          </w:p>
        </w:tc>
      </w:tr>
    </w:tbl>
    <w:sectPr>
      <w:pgSz w:w="11906" w:h="16838" w:orient="portrait"/>
      <w:pgMar w:top="720" w:right="580" w:bottom="720" w:left="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2026-05-27T12:17:25.801Z</dcterms:created>
  <dcterms:modified xsi:type="dcterms:W3CDTF">2026-05-27T12:17:25.802Z</dcterms:modified>
</cp:coreProperties>
</file>

<file path=docProps/custom.xml><?xml version="1.0" encoding="utf-8"?>
<Properties xmlns="http://schemas.openxmlformats.org/officeDocument/2006/custom-properties" xmlns:vt="http://schemas.openxmlformats.org/officeDocument/2006/docPropsVTypes"/>
</file>