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민사소송법 상소 파트 찌라시</w:t>
      </w:r>
    </w:p>
    <w:p>
      <w:pPr>
        <w:spacing w:after="300" w:before="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2026.05.16 오늘 첨삭 기반 · 오개념 정정 + 핵심 논점 정리</w:t>
      </w:r>
    </w:p>
    <w:p>
      <w:pPr>
        <w:pBdr>
          <w:bottom w:val="single" w:color="1F4E79" w:sz="6"/>
        </w:pBdr>
        <w:shd w:fill="1F4E79" w:val="clear"/>
        <w:spacing w:after="120" w:before="280"/>
        <w:ind w:left="16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PART 1  오개념 정정 — 오늘 답안에서 틀린 것들</w:t>
      </w:r>
    </w:p>
    <w:p>
      <w:pPr>
        <w:pBdr>
          <w:bottom w:val="single" w:color="C00000" w:sz="8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❌ 오개념 1  '소송요건은 직권조사사항 → 불이익변경금지 예외'</w:t>
      </w:r>
    </w:p>
    <w:p>
      <w:pPr>
        <w:spacing w:after="4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0000" w:sz="4"/>
              <w:left w:val="single" w:color="C00000" w:sz="16"/>
              <w:bottom w:val="single" w:color="C00000" w:sz="4"/>
              <w:right w:val="single" w:color="C00000" w:sz="4"/>
            </w:tcBorders>
            <w:shd w:fill="FF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ind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내가 쓴 논리: 소송요건은 처분권주의가 적용되지 않는 직권조사사항 → 불이익변경금지 원칙의 예외 인정</w:t>
            </w:r>
          </w:p>
        </w:tc>
      </w:tr>
    </w:tbl>
    <w:p>
      <w:pPr>
        <w:spacing w:after="60" w:before="0"/>
      </w:pPr>
    </w:p>
    <w:p>
      <w:pPr>
        <w:spacing w:after="60" w:before="60"/>
        <w:ind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✓ 왜 틀렸나?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직권조사사항이라는 것과 불이익변경금지 예외는 무관한 개념이다.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불이익변경금지의 예외는 4가지로 한정된다:</w:t>
      </w:r>
    </w:p>
    <w:p>
      <w:pPr>
        <w:spacing w:after="30" w:before="30"/>
        <w:ind w:left="700" w:hanging="200"/>
      </w:pPr>
      <w:r>
        <w:rPr>
          <w:rFonts w:ascii="맑은 고딕" w:cs="맑은 고딕" w:eastAsia="맑은 고딕" w:hAnsi="맑은 고딕"/>
          <w:color w:val="999999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① 처분권주의에 의하지 않는 절차 (가사소송 등)</w:t>
      </w:r>
    </w:p>
    <w:p>
      <w:pPr>
        <w:spacing w:after="30" w:before="30"/>
        <w:ind w:left="700" w:hanging="200"/>
      </w:pPr>
      <w:r>
        <w:rPr>
          <w:rFonts w:ascii="맑은 고딕" w:cs="맑은 고딕" w:eastAsia="맑은 고딕" w:hAnsi="맑은 고딕"/>
          <w:color w:val="999999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② 형식적 형성의 소 (공유물분할 등)</w:t>
      </w:r>
    </w:p>
    <w:p>
      <w:pPr>
        <w:spacing w:after="30" w:before="30"/>
        <w:ind w:left="700" w:hanging="200"/>
      </w:pPr>
      <w:r>
        <w:rPr>
          <w:rFonts w:ascii="맑은 고딕" w:cs="맑은 고딕" w:eastAsia="맑은 고딕" w:hAnsi="맑은 고딕"/>
          <w:color w:val="999999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③ 상계항변이 이유 있는 경우 — 제415조 단서 (명문 규정)</w:t>
      </w:r>
    </w:p>
    <w:p>
      <w:pPr>
        <w:spacing w:after="30" w:before="30"/>
        <w:ind w:left="700" w:hanging="200"/>
      </w:pPr>
      <w:r>
        <w:rPr>
          <w:rFonts w:ascii="맑은 고딕" w:cs="맑은 고딕" w:eastAsia="맑은 고딕" w:hAnsi="맑은 고딕"/>
          <w:color w:val="999999"/>
          <w:sz w:val="18"/>
          <w:szCs w:val="18"/>
        </w:rPr>
        <w:t xml:space="preserve">- </w:t>
      </w: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④ 합일확정의 원칙이 적용되는 필수적 공동소송</w:t>
      </w:r>
    </w:p>
    <w:p>
      <w:pPr>
        <w:spacing w:after="60" w:before="0"/>
      </w:pPr>
    </w:p>
    <w:p>
      <w:pPr>
        <w:spacing w:after="60" w:before="60"/>
        <w:ind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✓ 정확한 논리 (사례 45 설문(3) — 종중 소각하)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1단계: 불이익변경금지 → 소각하 &lt; 청구기각 (기판력 발생 여부 차이) → 청구기각 불가 → 항소기각이 원칙 (판례 항소기각설)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2단계: BUT 제418조 단서 요건 미충족 (1심에서 본안판결 할 정도로 심리 안 됨) → 제418조 본문 → 필수적 환송</w:t>
      </w:r>
    </w:p>
    <w:p>
      <w:pPr>
        <w:spacing w:after="40" w:before="0"/>
      </w:pPr>
    </w:p>
    <w:p>
      <w:pPr>
        <w:pBdr>
          <w:bottom w:val="single" w:color="C00000" w:sz="8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❌ 오개념 2  '갑(항소인)이 항소한 경우 대여금채권 존부는 다툴 수 없다'</w:t>
      </w:r>
    </w:p>
    <w:p>
      <w:pPr>
        <w:spacing w:after="4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0000" w:sz="4"/>
              <w:left w:val="single" w:color="C00000" w:sz="16"/>
              <w:bottom w:val="single" w:color="C00000" w:sz="4"/>
              <w:right w:val="single" w:color="C00000" w:sz="4"/>
            </w:tcBorders>
            <w:shd w:fill="FF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ind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내가 쓴 논리: 불이익변경금지 원칙에 의하여 대여금채권 존부에 대하여는 다툴 수 없고, 변제 여부에 대하여만 다툴 수 있다.</w:t>
            </w:r>
          </w:p>
        </w:tc>
      </w:tr>
    </w:tbl>
    <w:p>
      <w:pPr>
        <w:spacing w:after="60" w:before="0"/>
      </w:pPr>
    </w:p>
    <w:p>
      <w:pPr>
        <w:spacing w:after="60" w:before="60"/>
        <w:ind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✓ 왜 틀렸나?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불이익변경금지는 '심판대상 쟁점'을 제한하는 원칙이 아니다.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불이익변경금지의 판단 기준은 '기판력이 미치는 판결 주문'이다. 특정 쟁점을 심리하는 것 자체는 막지 않는다.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항소심은 대여금 존부도 얼마든지 심리할 수 있다. 단지 그 결론으로 항소인(갑)에게 더 불리한 주문을 내릴 수 없을 뿐이다.</w:t>
      </w:r>
    </w:p>
    <w:p>
      <w:pPr>
        <w:spacing w:after="60" w:before="0"/>
      </w:pPr>
    </w:p>
    <w:p>
      <w:pPr>
        <w:spacing w:after="60" w:before="60"/>
        <w:ind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✓ 정확한 서술 방식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75623" w:sz="4"/>
              <w:left w:val="single" w:color="375623" w:sz="16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ind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항소심의 심판범위(불이익변경금지)는 항소인의 불복 범위에 한정되나, 심리결과 1심과 다른 이유로 동일한 결론이 도출되는 경우 제414조 제2항에 의해 항소기각판결을 선고한다.</w:t>
            </w:r>
          </w:p>
        </w:tc>
      </w:tr>
    </w:tbl>
    <w:p>
      <w:pPr>
        <w:spacing w:after="40" w:before="0"/>
      </w:pPr>
    </w:p>
    <w:p>
      <w:pPr>
        <w:pBdr>
          <w:bottom w:val="single" w:color="C00000" w:sz="8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❌ 오개념 3  추가사실관계2 문제(2) — 제414조 제2항 과도 적용</w:t>
      </w:r>
    </w:p>
    <w:p>
      <w:pPr>
        <w:spacing w:after="4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00000" w:sz="4"/>
              <w:left w:val="single" w:color="C00000" w:sz="16"/>
              <w:bottom w:val="single" w:color="C00000" w:sz="4"/>
              <w:right w:val="single" w:color="C00000" w:sz="4"/>
            </w:tcBorders>
            <w:shd w:fill="FF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ind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내가 쓴 논리: 변제라는 다른 이유에 의해 판결이 정당한 경우 → 제414조 제2항 항소기각</w:t>
            </w:r>
          </w:p>
        </w:tc>
      </w:tr>
    </w:tbl>
    <w:p>
      <w:pPr>
        <w:spacing w:after="60" w:before="0"/>
      </w:pPr>
    </w:p>
    <w:p>
      <w:pPr>
        <w:spacing w:after="60" w:before="60"/>
        <w:ind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✓ 왜 틀렸나?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이 사안에서 '수동채권(대여금)'은 심판의 대상이 아니다 (갑이 자동채권 부존재를 이유로 항소 → 심판범위 = 자동채권만).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항소심이 수동채권 부존재(변제)를 이유로 기각하면 → 상계에 관한 판단 없음 → 자동채권(피고의 반대채권)에 기판력 불생 → 피고가 자동채권을 별소로 다시 청구 가능 → 원고에게 불이익.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따라서 이 경우는 불이익변경금지 위반 → 1심 이유(상계) 그대로 유지하여 항소기각. 제414조 제2항이 아니다.</w:t>
      </w:r>
    </w:p>
    <w:p>
      <w:pPr>
        <w:spacing w:after="60" w:before="0"/>
      </w:pPr>
    </w:p>
    <w:p>
      <w:pPr>
        <w:spacing w:after="60" w:before="60"/>
        <w:ind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✓ 결론은 같아도 법적 근거가 다르다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600"/>
      </w:tblGrid>
      <w:t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법적 근거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적용 요건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제414조 제2항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1심 이유 부당 + 다른 이유로 결론 같음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기판력 범위가 동일해야 함 (상계항변 있으면 적용 불가)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불이익변경금지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수동채권이 심판범위 밖 → 수동 이유로 판결하면 위반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자동채권 기판력 소멸의 이익 보호 위해 1심 이유 그대로 항소기각</w:t>
            </w:r>
          </w:p>
        </w:tc>
      </w:tr>
    </w:tbl>
    <w:p>
      <w:pPr>
        <w:spacing w:after="60" w:before="0"/>
      </w:pPr>
    </w:p>
    <w:p>
      <w:pPr>
        <w:pBdr>
          <w:bottom w:val="single" w:color="C00000" w:sz="8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❌ 오개념 4  '연합성의 원칙' → '합일확정의 원칙'</w:t>
      </w:r>
    </w:p>
    <w:p>
      <w:pPr>
        <w:spacing w:after="40" w:before="0"/>
      </w:pP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불이익변경금지 예외 4번째를 '제67조 연합성의 원칙이 적용되는 공동소송'으로 썼는데 → 틀린 표현.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정확한 표현: '제67조 합일확정의 원칙이 적용되는 필수적 공동소송'</w:t>
      </w:r>
    </w:p>
    <w:p>
      <w:pPr>
        <w:spacing w:after="60" w:before="0"/>
      </w:pPr>
    </w:p>
    <w:p>
      <w:pPr>
        <w:pBdr>
          <w:bottom w:val="single" w:color="1F4E79" w:sz="6"/>
        </w:pBdr>
        <w:shd w:fill="1F4E79" w:val="clear"/>
        <w:spacing w:after="120" w:before="280"/>
        <w:ind w:left="16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PART 2  헷갈리는 개념 비교 — 청구취지확장 / 항소취지확장 / 청구변경 / 병합</w:t>
      </w:r>
    </w:p>
    <w:p>
      <w:pPr>
        <w:pBdr>
          <w:bottom w:val="single" w:color="1F4E79" w:sz="8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1. 항소취지 확장 vs 청구취지 확장</w:t>
      </w:r>
    </w:p>
    <w:p>
      <w:pPr>
        <w:spacing w:after="4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항소취지 확장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청구취지 확장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정의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제1심 소송물 범위 내에서 이심은 됐으나 항소하지 않은 부분에 대해 심판범위 확장 신청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제1심 소송물이 아니었던 새로운 청구를 항소심에서 추가·확장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예시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2억 청구 전부패소 후 2천만원만 항소 → 나머지 1.8억도 항소취지 확장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항소심에서 원금 외에 지연손해금 청구 추가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청구변경?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❌ 아님 → 소변경 요건 불요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⭕ 해당 → 청구기초 동일성 등 요건 구비 필요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항소이익?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필요 (패소한 부분이므로 항소이익 있음)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원칙 불요 (부대항소로 파악 시) / 요건에 따라 다름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언제 가능?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항소심 변론종결 전까지 (환송심 불가 — 이미 확정됨)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항소심 변론종결 전까지</w:t>
            </w:r>
          </w:p>
        </w:tc>
      </w:tr>
    </w:tbl>
    <w:p>
      <w:pPr>
        <w:spacing w:after="80" w:before="0"/>
      </w:pPr>
    </w:p>
    <w:p>
      <w:pPr>
        <w:pBdr>
          <w:bottom w:val="single" w:color="1F4E79" w:sz="8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2. 청구변경의 형태</w:t>
      </w:r>
    </w:p>
    <w:p>
      <w:pPr>
        <w:spacing w:after="4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700"/>
      </w:tblGrid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교환적 변경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기존 청구 철회 + 새 청구로 교체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소유권이전등기 청구 → 손해배상 청구로 변경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추가적 변경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기존 청구 유지 + 새 청구 추가 병합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원금 청구 유지 + 이자 청구 추가</w:t>
            </w:r>
          </w:p>
        </w:tc>
      </w:tr>
    </w:tbl>
    <w:p>
      <w:pPr>
        <w:spacing w:after="4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FFC000" w:sz="4"/>
              <w:left w:val="single" w:color="FFC000" w:sz="16"/>
              <w:bottom w:val="single" w:color="FFC000" w:sz="4"/>
              <w:right w:val="single" w:color="FFC000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ind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항소심에서 추가적 변경의 법적 성질 (판례)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전부승소한 피항소인(원고)이 항소심에서 청구취지를 변경하면 → 피고에게 불이익한 한도에서 부대항소를 한 취지로 본다.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부대항소 = 비항소 = 항소이익 불요 → 전부승소자도 가능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부대항소 형식: 부대항소장 제출 없이 소변경신청서 제출해도 부대항소로 의제 (판례)</w:t>
            </w:r>
          </w:p>
        </w:tc>
      </w:tr>
    </w:tbl>
    <w:p>
      <w:pPr>
        <w:spacing w:after="80" w:before="0"/>
      </w:pPr>
    </w:p>
    <w:p>
      <w:pPr>
        <w:pBdr>
          <w:bottom w:val="single" w:color="1F4E79" w:sz="8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3. 청구병합의 종류</w:t>
      </w:r>
    </w:p>
    <w:p>
      <w:pPr>
        <w:spacing w:after="4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600"/>
      </w:tblGrid>
      <w:tr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심판 방식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항소심 처리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단순병합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모든 청구 독립 심판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전부판결에 일부항소 → 상불원으로 전부이심 / 심판범위는 불복 부분만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선택적병합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어느 하나 인용되면 나머지 불심판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1심 인용판결 → 피고만 항소 → 항소심에서 전부 심판대상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예비적병합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주위적 인용 시 예비적 불심판, 기각 시 예비적 심판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1심 주위적 인용 → 피고만 항소 → 예비적도 이심·심판대상</w:t>
            </w:r>
          </w:p>
        </w:tc>
      </w:tr>
    </w:tbl>
    <w:p>
      <w:pPr>
        <w:spacing w:after="60" w:before="0"/>
      </w:pPr>
    </w:p>
    <w:p>
      <w:pPr>
        <w:pBdr>
          <w:bottom w:val="single" w:color="1F4E79" w:sz="6"/>
        </w:pBdr>
        <w:shd w:fill="1F4E79" w:val="clear"/>
        <w:spacing w:after="120" w:before="280"/>
        <w:ind w:left="16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PART 3  핵심 논점 정리</w:t>
      </w:r>
    </w:p>
    <w:p>
      <w:pPr>
        <w:pBdr>
          <w:bottom w:val="single" w:color="1F4E79" w:sz="8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논점 1  소각하 vs 청구기각 + 제418조 흐름도</w:t>
      </w:r>
    </w:p>
    <w:p>
      <w:pPr>
        <w:spacing w:after="40" w:before="0"/>
      </w:pPr>
    </w:p>
    <w:p>
      <w:pPr>
        <w:spacing w:after="60" w:before="60"/>
        <w:ind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[ 상황: 1심 소각하 → 원고만 항소 → 항소심에서 본안 심리 결과 기각 사유 발견 ]</w:t>
      </w:r>
    </w:p>
    <w:p>
      <w:pPr>
        <w:spacing w:after="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75623" w:sz="4"/>
              <w:left w:val="single" w:color="375623" w:sz="16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ind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19"/>
                <w:szCs w:val="19"/>
              </w:rPr>
              <w:t xml:space="preserve">STEP 1 — 불이익변경금지 판단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소각하 판결 확정 시: 기판력 없음 → 재소 가능 → 원고에게 유리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청구기각 판결 확정 시: 기판력 발생 → 재소 차단 → 원고에게 불리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∴ 청구기각 &gt; 소각하 불이익 → 원고만 항소한 경우 청구기각 판결 불가 (불이익변경금지 위반)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→ 판례 항소기각설: 항소기각 판결을 해야 함 (법전협 채점기준)</w:t>
            </w:r>
          </w:p>
          <w:p>
            <w:pPr>
              <w:spacing w:after="40" w:before="0"/>
            </w:pPr>
          </w:p>
          <w:p>
            <w:pPr>
              <w:spacing w:after="60" w:before="60"/>
              <w:ind/>
            </w:pPr>
            <w:r>
              <w:rPr>
                <w:rFonts w:ascii="맑은 고딕" w:cs="맑은 고딕" w:eastAsia="맑은 고딕" w:hAnsi="맑은 고딕"/>
                <w:b/>
                <w:bCs/>
                <w:color w:val="375623"/>
                <w:sz w:val="19"/>
                <w:szCs w:val="19"/>
              </w:rPr>
              <w:t xml:space="preserve">STEP 2 — 제418조 단서 해당 여부 판단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제418조 단서 요건: 제1심에서 본안판결을 할 수 있을 정도로 심리가 된 경우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단서 충족 O → 항소법원이 스스로 본안판결 가능 → 항소기각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단서 충족 X → 제418조 본문 → 필수적 환송 (제1심에 사건 돌려보냄)</w:t>
            </w:r>
          </w:p>
        </w:tc>
      </w:tr>
    </w:tbl>
    <w:p>
      <w:pPr>
        <w:spacing w:after="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000"/>
      </w:tblGrid>
      <w:tr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사례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설문(2)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설문(3)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1심 처리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채권양도 무효 이유로 소각하 → 1심에서 채권양도 유효/변제 부분 심리됨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결의 없다는 이유로 소각하 → 본안(매매계약 존부) 심리 전혀 없음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418조 단서?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충족 (본안 심리됨)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❌ 미충족 (본안 심리 없음)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결론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항소기각 (불이익변경금지)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필수적 환송 (418조 본문)</w:t>
            </w:r>
          </w:p>
        </w:tc>
      </w:tr>
    </w:tbl>
    <w:p>
      <w:pPr>
        <w:spacing w:after="80" w:before="0"/>
      </w:pPr>
    </w:p>
    <w:p>
      <w:pPr>
        <w:pBdr>
          <w:bottom w:val="single" w:color="1F4E79" w:sz="8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논점 2  불법행위 손해배상 — 청구취지 확장 3단계</w:t>
      </w:r>
    </w:p>
    <w:p>
      <w:pPr>
        <w:spacing w:after="40" w:before="0"/>
      </w:pPr>
    </w:p>
    <w:p>
      <w:pPr>
        <w:spacing w:after="60" w:before="60"/>
        <w:ind/>
      </w:pPr>
      <w:r>
        <w:rPr>
          <w:rFonts w:ascii="맑은 고딕" w:cs="맑은 고딕" w:eastAsia="맑은 고딕" w:hAnsi="맑은 고딕"/>
          <w:b/>
          <w:bCs/>
          <w:color w:val="1F4E79"/>
          <w:sz w:val="19"/>
          <w:szCs w:val="19"/>
        </w:rPr>
        <w:t xml:space="preserve">[ 상황: 재산적 손해 전부승소 + 위자료 일부패소 → 위자료 부분만 항소 → 항소심에서 일실이익 추가 확장 ]</w:t>
      </w:r>
    </w:p>
    <w:p>
      <w:pPr>
        <w:spacing w:after="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FFC000" w:sz="4"/>
              <w:left w:val="single" w:color="FFC000" w:sz="16"/>
              <w:bottom w:val="single" w:color="FFC000" w:sz="4"/>
              <w:right w:val="single" w:color="FFC000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ind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STEP 1 — 재산적 손해 부분이 항소심으로 이심되는가?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청구병합에서 전부판결에 일부항소 → 상소불가분의 원칙 → 전부이심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∴ 위자료에만 항소해도 재산적 손해 부분도 이심됨 ✅</w:t>
            </w:r>
          </w:p>
          <w:p>
            <w:pPr>
              <w:spacing w:after="40" w:before="0"/>
            </w:pPr>
          </w:p>
          <w:p>
            <w:pPr>
              <w:spacing w:after="60" w:before="60"/>
              <w:ind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STEP 2 — 전부승소자의 항소이익이 있는가? (판례 논거 3가지)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① 전부승소자의 항소이익 부정은 절대적이 아님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② 불법행위 재산적 손해·위자료는 단일한 원인에 근거 → 편의상 별개 소송물로 분류할 뿐 → 실질적으로 파악하여 확장 허용이 상당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③ 일실이익은 묵시적 일부청구로 기판력에 의해 별소 차단 → 항소이익 부정하고 확장 불허하면 청구기회를 절대적으로 박탈 → 부당</w:t>
            </w:r>
          </w:p>
          <w:p>
            <w:pPr>
              <w:spacing w:after="40" w:before="0"/>
            </w:pPr>
          </w:p>
          <w:p>
            <w:pPr>
              <w:spacing w:after="60" w:before="60"/>
              <w:ind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STEP 3 — 청구취지 확장의 법적 성질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묵시적 일부청구를 전부청구로 확장 = 청구원인 변동 없음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∴ 청구변경이 아니라 이행명령의 상한 변경에 불과 → 소변경 요건 불요</w:t>
            </w:r>
          </w:p>
        </w:tc>
      </w:tr>
    </w:tbl>
    <w:p>
      <w:pPr>
        <w:spacing w:after="80" w:before="0"/>
      </w:pPr>
    </w:p>
    <w:p>
      <w:pPr>
        <w:pBdr>
          <w:bottom w:val="single" w:color="1F4E79" w:sz="8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논점 3  묵시적 일부청구 — 명시 여부 판단 기준 2가지</w:t>
      </w:r>
    </w:p>
    <w:p>
      <w:pPr>
        <w:spacing w:after="40" w:before="0"/>
      </w:pPr>
    </w:p>
    <w:p>
      <w:pPr>
        <w:spacing w:after="60" w:before="60"/>
        <w:ind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판례(명시설)의 명시적 일부청구 해당 기준: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① 전체 액수를 특정하여 그 중 일부만을 청구하고 나머지에 대한 청구를 유보하는 취지임을 밝혔을 것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② 일부청구하는 손해의 범위를 잔부와 구별하여 그 심리의 범위를 측정할 수 있는 정도의 표시가 있을 것</w:t>
      </w:r>
    </w:p>
    <w:p>
      <w:pPr>
        <w:spacing w:after="4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FFC000" w:sz="4"/>
              <w:left w:val="single" w:color="FFC000" w:sz="16"/>
              <w:bottom w:val="single" w:color="FFC000" w:sz="4"/>
              <w:right w:val="single" w:color="FFC000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ind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사안에서 두 가지 기준 모두 충족하지 않으면 → 묵시적 일부청구 → 기판력에 의해 별소 차단 → 항소이익 인정</w:t>
            </w:r>
          </w:p>
        </w:tc>
      </w:tr>
    </w:tbl>
    <w:p>
      <w:pPr>
        <w:spacing w:after="80" w:before="0"/>
      </w:pPr>
    </w:p>
    <w:p>
      <w:pPr>
        <w:pBdr>
          <w:bottom w:val="single" w:color="1F4E79" w:sz="8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논점 4  상계 관련 불이익변경금지 — 수동채권·자동채권 심판범위 정리</w:t>
      </w:r>
    </w:p>
    <w:p>
      <w:pPr>
        <w:spacing w:after="40" w:before="0"/>
      </w:pPr>
    </w:p>
    <w:p>
      <w:pPr>
        <w:spacing w:after="60" w:before="60"/>
        <w:ind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전제: 1심에서 상계항변 인용 → 청구기각 / 자동채권(반대채권)에 제216조 제2항 기판력 발생</w:t>
      </w:r>
    </w:p>
    <w:p>
      <w:pPr>
        <w:spacing w:after="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400"/>
      </w:tblGrid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항소인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항소심 심판범위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심판결과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항소심 판결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피고(을)만 항소
(수동채권 부존재 주장)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수동채권만 (자동채권은 이심되나 심판 외)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수동채권 부존재 인정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항소인용 + 1심취소 + 수동 부존재 이유로 청구기각 자판
(단, 기판력 범위 달라짐 → 414조 2항 불가)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피고(을)만 항소
(수동채권 부존재 주장)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수동채권만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자동채권 부존재 인정
(수동은 존재)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항소기각 (자동채권은 심판범위 밖 → 그 이유로 판결 불가 / 1심 이유 그대로 유지)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원고(갑)만 항소
(자동채권 부존재 주장)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자동채권만 (수동채권은 이심되나 심판 외)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수동채권 부존재 인정
(변제)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항소기각 — 수동채권 부존재 이유로 판결하면 자동채권 기판력 소멸 → 원고에게 불이익 → 불이익변경금지 위반 → 1심 이유(상계) 그대로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원고(갑)만 항소
(자동채권 부존재 주장)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자동채권만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자동채권 부존재 인정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항소인용 + 1심취소 + 자동채권 부존재 이유로 청구인용 자판</w:t>
            </w:r>
          </w:p>
        </w:tc>
      </w:tr>
    </w:tbl>
    <w:p>
      <w:pPr>
        <w:spacing w:after="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FFC000" w:sz="4"/>
              <w:left w:val="single" w:color="FFC000" w:sz="16"/>
              <w:bottom w:val="single" w:color="FFC000" w:sz="4"/>
              <w:right w:val="single" w:color="FFC000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ind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핵심 포인트 — 왜 '수동채권 부존재로 원고만 항소 시 항소기각'인가?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1심 확정(항소기각) 시: 상계항변 인용 확정 → 자동채권에 기판력 발생(제216조 제2항) → 자동채권 소멸 확정 → 피고의 별소 불가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수동채권 부존재 이유로 항소인용+기각 시: 상계 판단 없음 → 자동채권에 기판력 없음 → 피고는 자동채권 별소 가능 → 원고가 피고의 별소를 또 상대해야 함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∴ 수동채권 부존재 이유 판결 = 원고에게 더 불이익 → 불이익변경금지 위반 → 항소기각</w:t>
            </w:r>
          </w:p>
        </w:tc>
      </w:tr>
    </w:tbl>
    <w:p>
      <w:pPr>
        <w:spacing w:after="80" w:before="0"/>
      </w:pPr>
    </w:p>
    <w:p>
      <w:pPr>
        <w:pBdr>
          <w:bottom w:val="single" w:color="1F4E79" w:sz="8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논점 5  제414조 제2항 — 언제 쓰고 언제 못 쓰나</w:t>
      </w:r>
    </w:p>
    <w:p>
      <w:pPr>
        <w:spacing w:after="40" w:before="0"/>
      </w:pPr>
    </w:p>
    <w:p>
      <w:pPr>
        <w:spacing w:after="60" w:before="60"/>
        <w:ind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제414조 제2항: 원판결이 그 이유는 부당하더라도 다른 이유로 정당하다고 인정할 때에는 항소기각판결을 선고한다.</w:t>
      </w:r>
    </w:p>
    <w:p>
      <w:pPr>
        <w:spacing w:after="4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✅ 적용 가능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❌ 적용 불가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주문의 기판력 범위가 동일한 경우
예) 1심: 대여 인정 + 변제 인정 → 기각
항소심: 대여 자체 불인정 → 기각
→ 기판력 범위 동일 (수동채권 부존재) → 414조 2항 O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기판력 범위가 달라지는 경우 (특히 상계 관련)
예) 1심: 대여 불인정 → 기각
항소심: 대여 인정 + 상계항변 인정 → 기각
→ 기판력 범위 달라짐 (자동채권에 새 기판력) → 414조 2항 X → 항소인용 + 취소 + 자판</w:t>
            </w:r>
          </w:p>
        </w:tc>
      </w:tr>
    </w:tbl>
    <w:p>
      <w:pPr>
        <w:spacing w:after="80" w:before="0"/>
      </w:pPr>
    </w:p>
    <w:p>
      <w:pPr>
        <w:pBdr>
          <w:bottom w:val="single" w:color="1F4E79" w:sz="8"/>
        </w:pBdr>
        <w:spacing w:after="80" w:before="24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논점 6  항소취하 + 부대항소 처리</w:t>
      </w:r>
    </w:p>
    <w:p>
      <w:pPr>
        <w:spacing w:after="40" w:before="0"/>
      </w:pPr>
    </w:p>
    <w:p>
      <w:pPr>
        <w:spacing w:after="60" w:before="60"/>
        <w:ind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항소취하 요건 (제393조)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① 항소제기 후 항소심 종국판결 선고 전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② 일부항소취하 불가 (항소불가분의 원칙)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③ 상대방 동의 불요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④ 소송행위의 유효요건 구비</w:t>
      </w:r>
    </w:p>
    <w:p>
      <w:pPr>
        <w:spacing w:after="40" w:before="0"/>
      </w:pPr>
    </w:p>
    <w:p>
      <w:pPr>
        <w:spacing w:after="60" w:before="60"/>
        <w:ind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갑만 항소한 경우 — 모든 사건 종료 방법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대여원금 부분: 항소취하 → 제1심 판결 확정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지연손해금 부분: 항소심에서 새로 추가한 청구이므로 소취하 (별개 처리 필요!)</w:t>
      </w:r>
    </w:p>
    <w:p>
      <w:pPr>
        <w:spacing w:after="40" w:before="0"/>
      </w:pPr>
    </w:p>
    <w:p>
      <w:pPr>
        <w:spacing w:after="60" w:before="60"/>
        <w:ind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을만 항소한 경우 + 갑이 지연손해금 추가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갑의 지연손해금 추가: 청구의 추가적 변경에 해당 → 을의 항소에 편승하였으므로 부대항소로 파악 (판례)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부대항소 = 비항소 = 항소이익 불요</w:t>
      </w:r>
    </w:p>
    <w:p>
      <w:pPr>
        <w:spacing w:after="40" w:before="40"/>
        <w:ind w:left="400" w:hanging="200"/>
      </w:pPr>
      <w:r>
        <w:rPr>
          <w:rFonts w:ascii="맑은 고딕" w:cs="맑은 고딕" w:eastAsia="맑은 고딕" w:hAnsi="맑은 고딕"/>
          <w:b/>
          <w:bCs/>
          <w:color w:val="C55A11"/>
          <w:sz w:val="19"/>
          <w:szCs w:val="19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19"/>
          <w:szCs w:val="19"/>
        </w:rPr>
        <w:t xml:space="preserve">을이 항소취하 시 → 갑의 부대항소는 종속적 부대항소 → 을의 항소취하와 함께 효력 소멸 (제404조)</w:t>
      </w:r>
    </w:p>
    <w:p>
      <w:pPr>
        <w:spacing w:after="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FFC000" w:sz="4"/>
              <w:left w:val="single" w:color="FFC000" w:sz="16"/>
              <w:bottom w:val="single" w:color="FFC000" w:sz="4"/>
              <w:right w:val="single" w:color="FFC000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ind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종속적 vs 독립적 부대항소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항소기간 경과 후 부대항소 = 종속적 부대항소 → 주 항소 취하 시 함께 소멸 (제404조)</w:t>
            </w:r>
          </w:p>
          <w:p>
            <w:pPr>
              <w:spacing w:after="40" w:before="40"/>
              <w:ind w:left="400" w:hanging="200"/>
            </w:pPr>
            <w:r>
              <w:rPr>
                <w:rFonts w:ascii="맑은 고딕" w:cs="맑은 고딕" w:eastAsia="맑은 고딕" w:hAnsi="맑은 고딕"/>
                <w:b/>
                <w:bCs/>
                <w:color w:val="C55A11"/>
                <w:sz w:val="19"/>
                <w:szCs w:val="19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항소기간 내 부대항소 = 독립적 부대항소 → 주 항소 취하 후에도 독립 유지, BUT 항소이익 갖춰야 함</w:t>
            </w:r>
          </w:p>
        </w:tc>
      </w:tr>
    </w:tbl>
    <w:p>
      <w:pPr>
        <w:spacing w:after="60" w:before="0"/>
      </w:pPr>
    </w:p>
    <w:p>
      <w:pPr>
        <w:pBdr>
          <w:bottom w:val="single" w:color="1F4E79" w:sz="6"/>
        </w:pBdr>
        <w:shd w:fill="1F4E79" w:val="clear"/>
        <w:spacing w:after="120" w:before="280"/>
        <w:ind w:left="16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PART 4  빠른 암기 — 핵심 결론 한눈에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800"/>
      </w:tblGrid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결론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소각하 → 원고만 항소 → 항소심 청구기각 심증
(1심에서 본안심리 됨)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항소기각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불이익변경금지 (청구기각 &gt; 소각하)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소각하 → 원고만 항소 → 항소심 청구기각 심증
(1심에서 본안심리 없음)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필수적 환송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제418조 단서 미충족 → 본문 적용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불법행위 재산적 손해 전부승소 후 항소심서 추가 확장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허용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판례 논거 3가지 / 이행명령 상한 변경에 불과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1심: 대여인정+변제인정→기각
항소심: 대여 불인정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제414조 2항 항소기각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기판력 범위 동일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1심: 상계항변 인정→기각 / 원고만 항소
항소심: 수동채권 변제로 부존재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불이익변경금지 → 항소기각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수동채권은 심판범위 밖 / 자동채권 기판력 보호</w:t>
            </w:r>
          </w:p>
        </w:tc>
      </w:tr>
      <w:tr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1심: 대여불인정→기각 / 원고만 항소
항소심: 대여인정 + 상계항변 인정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항소인용 + 취소 + 상계이유 기각</w:t>
            </w:r>
          </w:p>
        </w:tc>
        <w:tc>
          <w:tcPr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기판력 범위 달라짐 → 414조 2항 불가</w:t>
            </w:r>
          </w:p>
        </w:tc>
      </w:tr>
    </w:tbl>
    <w:p>
      <w:pPr>
        <w:spacing w:after="100" w:before="0"/>
      </w:pPr>
    </w:p>
    <w:p>
      <w:pPr>
        <w:spacing w:after="0" w:before="0"/>
        <w:jc w:val="center"/>
      </w:pPr>
      <w:r>
        <w:rPr>
          <w:rFonts w:ascii="맑은 고딕" w:cs="맑은 고딕" w:eastAsia="맑은 고딕" w:hAnsi="맑은 고딕"/>
          <w:color w:val="AAAAAA"/>
          <w:sz w:val="18"/>
          <w:szCs w:val="18"/>
        </w:rPr>
        <w:t xml:space="preserve">— 끝 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2026-05-16T14:46:59.467Z</dcterms:created>
  <dcterms:modified xsi:type="dcterms:W3CDTF">2026-05-16T14:46:59.467Z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