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jc w:val="center"/>
      </w:pPr>
      <w:r>
        <w:rPr>
          <w:rFonts w:ascii="맑은 고딕" w:hAnsi="맑은 고딕" w:eastAsia="맑은 고딕" w:cs="맑은 고딕"/>
          <w:b/>
          <w:color w:val="1F3864"/>
          <w:sz w:val="34"/>
        </w:rPr>
        <w:t>2026년도 제1차 변호사시험 모의시험 · 민사법 기록형 첨삭 (정정본)</w:t>
      </w:r>
    </w:p>
    <w:p>
      <w:pPr>
        <w:spacing w:before="40" w:after="80"/>
        <w:jc w:val="center"/>
      </w:pPr>
      <w:r>
        <w:rPr>
          <w:rFonts w:ascii="맑은 고딕" w:hAnsi="맑은 고딕" w:eastAsia="맑은 고딕" w:cs="맑은 고딕"/>
          <w:b w:val="0"/>
          <w:color w:val="555555"/>
          <w:sz w:val="20"/>
        </w:rPr>
        <w:t>시험일 2026. 6. 25.  |  채점기준표·모범답안 전문 1:1 대조  |  총점 175점</w:t>
      </w:r>
    </w:p>
    <w:p>
      <w:pPr>
        <w:spacing w:before="40" w:after="120"/>
      </w:pPr>
      <w:r>
        <w:rPr>
          <w:rFonts w:ascii="맑은 고딕" w:hAnsi="맑은 고딕" w:eastAsia="맑은 고딕" w:cs="맑은 고딕"/>
          <w:b w:val="0"/>
          <w:color w:val="B86A00"/>
          <w:sz w:val="17"/>
        </w:rPr>
        <w:t>※ 이전 본(약 115/166)은 배점표 논점만 보고 후하게 평가한 잠정본. 배포용(DRM) 문서를 복호화해 모범답안 전문을 확보, 금액·완성도·당사자까지 대조한 정정본. 예상점수 하향.</w:t>
      </w:r>
    </w:p>
    <w:p>
      <w:pPr>
        <w:spacing w:before="240" w:after="80"/>
        <w:pBdr>
          <w:bottom w:val="single" w:sz="6" w:space="2" w:color="1F3864"/>
        </w:pBdr>
      </w:pPr>
      <w:r>
        <w:rPr>
          <w:rFonts w:ascii="맑은 고딕" w:hAnsi="맑은 고딕" w:eastAsia="맑은 고딕" w:cs="맑은 고딕"/>
          <w:b/>
          <w:color w:val="1F3864"/>
          <w:sz w:val="27"/>
        </w:rPr>
        <w:t>【0】 답안 기본 정보</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3"/>
        <w:gridCol w:w="4873"/>
      </w:tblGrid>
      <w:tr>
        <w:tc>
          <w:tcPr>
            <w:tcW w:type="dxa" w:w="2100"/>
            <w:shd w:val="clear" w:fill="1F3864"/>
          </w:tcPr>
          <w:p>
            <w:pPr>
              <w:spacing w:before="20" w:after="20"/>
            </w:pPr>
            <w:r/>
            <w:r>
              <w:rPr>
                <w:rFonts w:ascii="맑은 고딕" w:hAnsi="맑은 고딕" w:eastAsia="맑은 고딕" w:cs="맑은 고딕"/>
                <w:b/>
                <w:color w:val="FFFFFF"/>
                <w:sz w:val="19"/>
              </w:rPr>
              <w:t>항목</w:t>
            </w:r>
          </w:p>
        </w:tc>
        <w:tc>
          <w:tcPr>
            <w:tcW w:type="dxa" w:w="7600"/>
            <w:shd w:val="clear" w:fill="1F3864"/>
          </w:tcPr>
          <w:p>
            <w:pPr>
              <w:spacing w:before="20" w:after="20"/>
            </w:pPr>
            <w:r/>
            <w:r>
              <w:rPr>
                <w:rFonts w:ascii="맑은 고딕" w:hAnsi="맑은 고딕" w:eastAsia="맑은 고딕" w:cs="맑은 고딕"/>
                <w:b/>
                <w:color w:val="FFFFFF"/>
                <w:sz w:val="19"/>
              </w:rPr>
              <w:t>내용</w:t>
            </w:r>
          </w:p>
        </w:tc>
      </w:tr>
      <w:tr>
        <w:tc>
          <w:tcPr>
            <w:tcW w:type="dxa" w:w="2100"/>
          </w:tcPr>
          <w:p>
            <w:pPr>
              <w:spacing w:before="20" w:after="20"/>
            </w:pPr>
            <w:r/>
            <w:r>
              <w:rPr>
                <w:rFonts w:ascii="맑은 고딕" w:hAnsi="맑은 고딕" w:eastAsia="맑은 고딕" w:cs="맑은 고딕"/>
                <w:b w:val="0"/>
                <w:sz w:val="18"/>
              </w:rPr>
              <w:t>시험</w:t>
            </w:r>
          </w:p>
        </w:tc>
        <w:tc>
          <w:tcPr>
            <w:tcW w:type="dxa" w:w="7600"/>
          </w:tcPr>
          <w:p>
            <w:pPr>
              <w:spacing w:before="20" w:after="20"/>
            </w:pPr>
            <w:r/>
            <w:r>
              <w:rPr>
                <w:rFonts w:ascii="맑은 고딕" w:hAnsi="맑은 고딕" w:eastAsia="맑은 고딕" w:cs="맑은 고딕"/>
                <w:b w:val="0"/>
                <w:sz w:val="18"/>
              </w:rPr>
              <w:t>2026년도 제1차 변호사시험 모의시험 (2026. 6. 25.)</w:t>
            </w:r>
          </w:p>
        </w:tc>
      </w:tr>
      <w:tr>
        <w:tc>
          <w:tcPr>
            <w:tcW w:type="dxa" w:w="2100"/>
            <w:shd w:val="clear" w:fill="F2F2F2"/>
          </w:tcPr>
          <w:p>
            <w:pPr>
              <w:spacing w:before="20" w:after="20"/>
            </w:pPr>
            <w:r/>
            <w:r>
              <w:rPr>
                <w:rFonts w:ascii="맑은 고딕" w:hAnsi="맑은 고딕" w:eastAsia="맑은 고딕" w:cs="맑은 고딕"/>
                <w:b w:val="0"/>
                <w:sz w:val="18"/>
              </w:rPr>
              <w:t>문서 유형</w:t>
            </w:r>
          </w:p>
        </w:tc>
        <w:tc>
          <w:tcPr>
            <w:tcW w:type="dxa" w:w="7600"/>
            <w:shd w:val="clear" w:fill="F2F2F2"/>
          </w:tcPr>
          <w:p>
            <w:pPr>
              <w:spacing w:before="20" w:after="20"/>
            </w:pPr>
            <w:r/>
            <w:r>
              <w:rPr>
                <w:rFonts w:ascii="맑은 고딕" w:hAnsi="맑은 고딕" w:eastAsia="맑은 고딕" w:cs="맑은 고딕"/>
                <w:b w:val="0"/>
                <w:sz w:val="18"/>
              </w:rPr>
              <w:t>소장 — 대여금 등 청구의 소 (세직 사건명: 사해행위 취소 등 ❌)</w:t>
            </w:r>
          </w:p>
        </w:tc>
      </w:tr>
      <w:tr>
        <w:tc>
          <w:tcPr>
            <w:tcW w:type="dxa" w:w="2100"/>
          </w:tcPr>
          <w:p>
            <w:pPr>
              <w:spacing w:before="20" w:after="20"/>
            </w:pPr>
            <w:r/>
            <w:r>
              <w:rPr>
                <w:rFonts w:ascii="맑은 고딕" w:hAnsi="맑은 고딕" w:eastAsia="맑은 고딕" w:cs="맑은 고딕"/>
                <w:b w:val="0"/>
                <w:sz w:val="18"/>
              </w:rPr>
              <w:t>당사자</w:t>
            </w:r>
          </w:p>
        </w:tc>
        <w:tc>
          <w:tcPr>
            <w:tcW w:type="dxa" w:w="7600"/>
          </w:tcPr>
          <w:p>
            <w:pPr>
              <w:spacing w:before="20" w:after="20"/>
            </w:pPr>
            <w:r/>
            <w:r>
              <w:rPr>
                <w:rFonts w:ascii="맑은 고딕" w:hAnsi="맑은 고딕" w:eastAsia="맑은 고딕" w:cs="맑은 고딕"/>
                <w:b w:val="0"/>
                <w:sz w:val="18"/>
              </w:rPr>
              <w:t>원고 김용혁 / 피고 박은주·노해일·추봉석·도희준·민화정(세직 5피고=도철신 ❌)</w:t>
            </w:r>
          </w:p>
        </w:tc>
      </w:tr>
      <w:tr>
        <w:tc>
          <w:tcPr>
            <w:tcW w:type="dxa" w:w="2100"/>
            <w:shd w:val="clear" w:fill="F2F2F2"/>
          </w:tcPr>
          <w:p>
            <w:pPr>
              <w:spacing w:before="20" w:after="20"/>
            </w:pPr>
            <w:r/>
            <w:r>
              <w:rPr>
                <w:rFonts w:ascii="맑은 고딕" w:hAnsi="맑은 고딕" w:eastAsia="맑은 고딕" w:cs="맑은 고딕"/>
                <w:b w:val="0"/>
                <w:sz w:val="18"/>
              </w:rPr>
              <w:t>관할</w:t>
            </w:r>
          </w:p>
        </w:tc>
        <w:tc>
          <w:tcPr>
            <w:tcW w:type="dxa" w:w="7600"/>
            <w:shd w:val="clear" w:fill="F2F2F2"/>
          </w:tcPr>
          <w:p>
            <w:pPr>
              <w:spacing w:before="20" w:after="20"/>
            </w:pPr>
            <w:r/>
            <w:r>
              <w:rPr>
                <w:rFonts w:ascii="맑은 고딕" w:hAnsi="맑은 고딕" w:eastAsia="맑은 고딕" w:cs="맑은 고딕"/>
                <w:b w:val="0"/>
                <w:sz w:val="18"/>
              </w:rPr>
              <w:t>춘천지방법원 (박은주 주소지) — 정답. 서울중앙(대리인 사무소)은 관할 근거 아님</w:t>
            </w:r>
          </w:p>
        </w:tc>
      </w:tr>
      <w:tr>
        <w:tc>
          <w:tcPr>
            <w:tcW w:type="dxa" w:w="2100"/>
          </w:tcPr>
          <w:p>
            <w:pPr>
              <w:spacing w:before="20" w:after="20"/>
            </w:pPr>
            <w:r/>
            <w:r>
              <w:rPr>
                <w:rFonts w:ascii="맑은 고딕" w:hAnsi="맑은 고딕" w:eastAsia="맑은 고딕" w:cs="맑은 고딕"/>
                <w:b w:val="0"/>
                <w:sz w:val="18"/>
              </w:rPr>
              <w:t>총 배점</w:t>
            </w:r>
          </w:p>
        </w:tc>
        <w:tc>
          <w:tcPr>
            <w:tcW w:type="dxa" w:w="7600"/>
          </w:tcPr>
          <w:p>
            <w:pPr>
              <w:spacing w:before="20" w:after="20"/>
            </w:pPr>
            <w:r/>
            <w:r>
              <w:rPr>
                <w:rFonts w:ascii="맑은 고딕" w:hAnsi="맑은 고딕" w:eastAsia="맑은 고딕" w:cs="맑은 고딕"/>
                <w:b w:val="0"/>
                <w:sz w:val="18"/>
              </w:rPr>
              <w:t>175점</w:t>
            </w:r>
          </w:p>
        </w:tc>
      </w:tr>
    </w:tbl>
    <w:p>
      <w:pPr>
        <w:spacing w:after="40"/>
      </w:pPr>
    </w:p>
    <w:p>
      <w:pPr>
        <w:spacing w:before="240" w:after="80"/>
        <w:pBdr>
          <w:bottom w:val="single" w:sz="6" w:space="2" w:color="1F3864"/>
        </w:pBdr>
      </w:pPr>
      <w:r>
        <w:rPr>
          <w:rFonts w:ascii="맑은 고딕" w:hAnsi="맑은 고딕" w:eastAsia="맑은 고딕" w:cs="맑은 고딕"/>
          <w:b/>
          <w:color w:val="1F3864"/>
          <w:sz w:val="27"/>
        </w:rPr>
        <w:t>【1】 형식 검토  ★기록형 핵심★</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49"/>
        <w:gridCol w:w="3249"/>
        <w:gridCol w:w="3249"/>
      </w:tblGrid>
      <w:tr>
        <w:tc>
          <w:tcPr>
            <w:tcW w:type="dxa" w:w="2400"/>
            <w:shd w:val="clear" w:fill="1F3864"/>
          </w:tcPr>
          <w:p>
            <w:pPr>
              <w:spacing w:before="20" w:after="20"/>
            </w:pPr>
            <w:r/>
            <w:r>
              <w:rPr>
                <w:rFonts w:ascii="맑은 고딕" w:hAnsi="맑은 고딕" w:eastAsia="맑은 고딕" w:cs="맑은 고딕"/>
                <w:b/>
                <w:color w:val="FFFFFF"/>
                <w:sz w:val="19"/>
              </w:rPr>
              <w:t>항목</w:t>
            </w:r>
          </w:p>
        </w:tc>
        <w:tc>
          <w:tcPr>
            <w:tcW w:type="dxa" w:w="900"/>
            <w:shd w:val="clear" w:fill="1F3864"/>
          </w:tcPr>
          <w:p>
            <w:pPr>
              <w:spacing w:before="20" w:after="20"/>
            </w:pPr>
            <w:r/>
            <w:r>
              <w:rPr>
                <w:rFonts w:ascii="맑은 고딕" w:hAnsi="맑은 고딕" w:eastAsia="맑은 고딕" w:cs="맑은 고딕"/>
                <w:b/>
                <w:color w:val="FFFFFF"/>
                <w:sz w:val="19"/>
              </w:rPr>
              <w:t>판정</w:t>
            </w:r>
          </w:p>
        </w:tc>
        <w:tc>
          <w:tcPr>
            <w:tcW w:type="dxa" w:w="6400"/>
            <w:shd w:val="clear" w:fill="1F3864"/>
          </w:tcPr>
          <w:p>
            <w:pPr>
              <w:spacing w:before="20" w:after="20"/>
            </w:pPr>
            <w:r/>
            <w:r>
              <w:rPr>
                <w:rFonts w:ascii="맑은 고딕" w:hAnsi="맑은 고딕" w:eastAsia="맑은 고딕" w:cs="맑은 고딕"/>
                <w:b/>
                <w:color w:val="FFFFFF"/>
                <w:sz w:val="19"/>
              </w:rPr>
              <w:t>비고</w:t>
            </w:r>
          </w:p>
        </w:tc>
      </w:tr>
      <w:tr>
        <w:tc>
          <w:tcPr>
            <w:tcW w:type="dxa" w:w="2400"/>
          </w:tcPr>
          <w:p>
            <w:pPr>
              <w:spacing w:before="20" w:after="20"/>
            </w:pPr>
            <w:r/>
            <w:r>
              <w:rPr>
                <w:rFonts w:ascii="맑은 고딕" w:hAnsi="맑은 고딕" w:eastAsia="맑은 고딕" w:cs="맑은 고딕"/>
                <w:b w:val="0"/>
                <w:sz w:val="18"/>
              </w:rPr>
              <w:t>원고·대리인 표시</w:t>
            </w:r>
          </w:p>
        </w:tc>
        <w:tc>
          <w:tcPr>
            <w:tcW w:type="dxa" w:w="900"/>
          </w:tcPr>
          <w:p>
            <w:pPr>
              <w:spacing w:before="20" w:after="20"/>
            </w:pPr>
            <w:r/>
            <w:r>
              <w:rPr>
                <w:rFonts w:ascii="맑은 고딕" w:hAnsi="맑은 고딕" w:eastAsia="맑은 고딕" w:cs="맑은 고딕"/>
                <w:b w:val="0"/>
                <w:color w:val="1E7A2E"/>
                <w:sz w:val="18"/>
              </w:rPr>
              <w:t>✅</w:t>
            </w:r>
          </w:p>
        </w:tc>
        <w:tc>
          <w:tcPr>
            <w:tcW w:type="dxa" w:w="6400"/>
          </w:tcPr>
          <w:p>
            <w:pPr>
              <w:spacing w:before="20" w:after="20"/>
            </w:pPr>
            <w:r/>
            <w:r>
              <w:rPr>
                <w:rFonts w:ascii="맑은 고딕" w:hAnsi="맑은 고딕" w:eastAsia="맑은 고딕" w:cs="맑은 고딕"/>
                <w:b w:val="0"/>
                <w:sz w:val="18"/>
              </w:rPr>
              <w:t>정상</w:t>
            </w:r>
          </w:p>
        </w:tc>
      </w:tr>
      <w:tr>
        <w:tc>
          <w:tcPr>
            <w:tcW w:type="dxa" w:w="2400"/>
            <w:shd w:val="clear" w:fill="F2F2F2"/>
          </w:tcPr>
          <w:p>
            <w:pPr>
              <w:spacing w:before="20" w:after="20"/>
            </w:pPr>
            <w:r/>
            <w:r>
              <w:rPr>
                <w:rFonts w:ascii="맑은 고딕" w:hAnsi="맑은 고딕" w:eastAsia="맑은 고딕" w:cs="맑은 고딕"/>
                <w:b w:val="0"/>
                <w:sz w:val="18"/>
              </w:rPr>
              <w:t>피고 표시</w:t>
            </w:r>
          </w:p>
        </w:tc>
        <w:tc>
          <w:tcPr>
            <w:tcW w:type="dxa" w:w="900"/>
            <w:shd w:val="clear" w:fill="F2F2F2"/>
          </w:tcPr>
          <w:p>
            <w:pPr>
              <w:spacing w:before="20" w:after="20"/>
            </w:pPr>
            <w:r/>
            <w:r>
              <w:rPr>
                <w:rFonts w:ascii="맑은 고딕" w:hAnsi="맑은 고딕" w:eastAsia="맑은 고딕" w:cs="맑은 고딕"/>
                <w:b w:val="0"/>
                <w:color w:val="B00000"/>
                <w:sz w:val="18"/>
              </w:rPr>
              <w:t>❌</w:t>
            </w:r>
          </w:p>
        </w:tc>
        <w:tc>
          <w:tcPr>
            <w:tcW w:type="dxa" w:w="6400"/>
            <w:shd w:val="clear" w:fill="F2F2F2"/>
          </w:tcPr>
          <w:p>
            <w:pPr>
              <w:spacing w:before="20" w:after="20"/>
            </w:pPr>
            <w:r/>
            <w:r>
              <w:rPr>
                <w:rFonts w:ascii="맑은 고딕" w:hAnsi="맑은 고딕" w:eastAsia="맑은 고딕" w:cs="맑은 고딕"/>
                <w:b w:val="0"/>
                <w:sz w:val="18"/>
              </w:rPr>
              <w:t>제5피고 = 민화정이 정답(세직=도철신). 상속 판단 오류와 연동</w:t>
            </w:r>
          </w:p>
        </w:tc>
      </w:tr>
      <w:tr>
        <w:tc>
          <w:tcPr>
            <w:tcW w:type="dxa" w:w="2400"/>
          </w:tcPr>
          <w:p>
            <w:pPr>
              <w:spacing w:before="20" w:after="20"/>
            </w:pPr>
            <w:r/>
            <w:r>
              <w:rPr>
                <w:rFonts w:ascii="맑은 고딕" w:hAnsi="맑은 고딕" w:eastAsia="맑은 고딕" w:cs="맑은 고딕"/>
                <w:b w:val="0"/>
                <w:sz w:val="18"/>
              </w:rPr>
              <w:t>사건명</w:t>
            </w:r>
          </w:p>
        </w:tc>
        <w:tc>
          <w:tcPr>
            <w:tcW w:type="dxa" w:w="900"/>
          </w:tcPr>
          <w:p>
            <w:pPr>
              <w:spacing w:before="20" w:after="20"/>
            </w:pPr>
            <w:r/>
            <w:r>
              <w:rPr>
                <w:rFonts w:ascii="맑은 고딕" w:hAnsi="맑은 고딕" w:eastAsia="맑은 고딕" w:cs="맑은 고딕"/>
                <w:b w:val="0"/>
                <w:color w:val="B00000"/>
                <w:sz w:val="18"/>
              </w:rPr>
              <w:t>❌</w:t>
            </w:r>
          </w:p>
        </w:tc>
        <w:tc>
          <w:tcPr>
            <w:tcW w:type="dxa" w:w="6400"/>
          </w:tcPr>
          <w:p>
            <w:pPr>
              <w:spacing w:before="20" w:after="20"/>
            </w:pPr>
            <w:r/>
            <w:r>
              <w:rPr>
                <w:rFonts w:ascii="맑은 고딕" w:hAnsi="맑은 고딕" w:eastAsia="맑은 고딕" w:cs="맑은 고딕"/>
                <w:b w:val="0"/>
                <w:sz w:val="18"/>
              </w:rPr>
              <w:t>「대여금 등 청구의 소」가 정답. 세직 「사해행위 취소 등」</w:t>
            </w:r>
          </w:p>
        </w:tc>
      </w:tr>
      <w:tr>
        <w:tc>
          <w:tcPr>
            <w:tcW w:type="dxa" w:w="2400"/>
            <w:shd w:val="clear" w:fill="F2F2F2"/>
          </w:tcPr>
          <w:p>
            <w:pPr>
              <w:spacing w:before="20" w:after="20"/>
            </w:pPr>
            <w:r/>
            <w:r>
              <w:rPr>
                <w:rFonts w:ascii="맑은 고딕" w:hAnsi="맑은 고딕" w:eastAsia="맑은 고딕" w:cs="맑은 고딕"/>
                <w:b w:val="0"/>
                <w:sz w:val="18"/>
              </w:rPr>
              <w:t>소송비용 부담</w:t>
            </w:r>
          </w:p>
        </w:tc>
        <w:tc>
          <w:tcPr>
            <w:tcW w:type="dxa" w:w="900"/>
            <w:shd w:val="clear" w:fill="F2F2F2"/>
          </w:tcPr>
          <w:p>
            <w:pPr>
              <w:spacing w:before="20" w:after="20"/>
            </w:pPr>
            <w:r/>
            <w:r>
              <w:rPr>
                <w:rFonts w:ascii="맑은 고딕" w:hAnsi="맑은 고딕" w:eastAsia="맑은 고딕" w:cs="맑은 고딕"/>
                <w:b w:val="0"/>
                <w:color w:val="B00000"/>
                <w:sz w:val="18"/>
              </w:rPr>
              <w:t>❌</w:t>
            </w:r>
          </w:p>
        </w:tc>
        <w:tc>
          <w:tcPr>
            <w:tcW w:type="dxa" w:w="6400"/>
            <w:shd w:val="clear" w:fill="F2F2F2"/>
          </w:tcPr>
          <w:p>
            <w:pPr>
              <w:spacing w:before="20" w:after="20"/>
            </w:pPr>
            <w:r/>
            <w:r>
              <w:rPr>
                <w:rFonts w:ascii="맑은 고딕" w:hAnsi="맑은 고딕" w:eastAsia="맑은 고딕" w:cs="맑은 고딕"/>
                <w:b w:val="0"/>
                <w:sz w:val="18"/>
              </w:rPr>
              <w:t>청구취지 누락 (배점 1)</w:t>
            </w:r>
          </w:p>
        </w:tc>
      </w:tr>
      <w:tr>
        <w:tc>
          <w:tcPr>
            <w:tcW w:type="dxa" w:w="2400"/>
          </w:tcPr>
          <w:p>
            <w:pPr>
              <w:spacing w:before="20" w:after="20"/>
            </w:pPr>
            <w:r/>
            <w:r>
              <w:rPr>
                <w:rFonts w:ascii="맑은 고딕" w:hAnsi="맑은 고딕" w:eastAsia="맑은 고딕" w:cs="맑은 고딕"/>
                <w:b w:val="0"/>
                <w:sz w:val="18"/>
              </w:rPr>
              <w:t>가집행 선고</w:t>
            </w:r>
          </w:p>
        </w:tc>
        <w:tc>
          <w:tcPr>
            <w:tcW w:type="dxa" w:w="900"/>
          </w:tcPr>
          <w:p>
            <w:pPr>
              <w:spacing w:before="20" w:after="20"/>
            </w:pPr>
            <w:r/>
            <w:r>
              <w:rPr>
                <w:rFonts w:ascii="맑은 고딕" w:hAnsi="맑은 고딕" w:eastAsia="맑은 고딕" w:cs="맑은 고딕"/>
                <w:b w:val="0"/>
                <w:color w:val="B00000"/>
                <w:sz w:val="18"/>
              </w:rPr>
              <w:t>❌</w:t>
            </w:r>
          </w:p>
        </w:tc>
        <w:tc>
          <w:tcPr>
            <w:tcW w:type="dxa" w:w="6400"/>
          </w:tcPr>
          <w:p>
            <w:pPr>
              <w:spacing w:before="20" w:after="20"/>
            </w:pPr>
            <w:r/>
            <w:r>
              <w:rPr>
                <w:rFonts w:ascii="맑은 고딕" w:hAnsi="맑은 고딕" w:eastAsia="맑은 고딕" w:cs="맑은 고딕"/>
                <w:b w:val="0"/>
                <w:sz w:val="18"/>
              </w:rPr>
              <w:t>청구취지 누락. 정답 「제4항 내지 6항은 가집행할 수 있다」 (배점 1)</w:t>
            </w:r>
          </w:p>
        </w:tc>
      </w:tr>
      <w:tr>
        <w:tc>
          <w:tcPr>
            <w:tcW w:type="dxa" w:w="2400"/>
            <w:shd w:val="clear" w:fill="F2F2F2"/>
          </w:tcPr>
          <w:p>
            <w:pPr>
              <w:spacing w:before="20" w:after="20"/>
            </w:pPr>
            <w:r/>
            <w:r>
              <w:rPr>
                <w:rFonts w:ascii="맑은 고딕" w:hAnsi="맑은 고딕" w:eastAsia="맑은 고딕" w:cs="맑은 고딕"/>
                <w:b w:val="0"/>
                <w:sz w:val="18"/>
              </w:rPr>
              <w:t>관할법원</w:t>
            </w:r>
          </w:p>
        </w:tc>
        <w:tc>
          <w:tcPr>
            <w:tcW w:type="dxa" w:w="900"/>
            <w:shd w:val="clear" w:fill="F2F2F2"/>
          </w:tcPr>
          <w:p>
            <w:pPr>
              <w:spacing w:before="20" w:after="20"/>
            </w:pPr>
            <w:r/>
            <w:r>
              <w:rPr>
                <w:rFonts w:ascii="맑은 고딕" w:hAnsi="맑은 고딕" w:eastAsia="맑은 고딕" w:cs="맑은 고딕"/>
                <w:b w:val="0"/>
                <w:color w:val="1E7A2E"/>
                <w:sz w:val="18"/>
              </w:rPr>
              <w:t>✅</w:t>
            </w:r>
          </w:p>
        </w:tc>
        <w:tc>
          <w:tcPr>
            <w:tcW w:type="dxa" w:w="6400"/>
            <w:shd w:val="clear" w:fill="F2F2F2"/>
          </w:tcPr>
          <w:p>
            <w:pPr>
              <w:spacing w:before="20" w:after="20"/>
            </w:pPr>
            <w:r/>
            <w:r>
              <w:rPr>
                <w:rFonts w:ascii="맑은 고딕" w:hAnsi="맑은 고딕" w:eastAsia="맑은 고딕" w:cs="맑은 고딕"/>
                <w:b w:val="0"/>
                <w:sz w:val="18"/>
              </w:rPr>
              <w:t>춘천지방법원 귀중 (정답)</w:t>
            </w:r>
          </w:p>
        </w:tc>
      </w:tr>
      <w:tr>
        <w:tc>
          <w:tcPr>
            <w:tcW w:type="dxa" w:w="2400"/>
          </w:tcPr>
          <w:p>
            <w:pPr>
              <w:spacing w:before="20" w:after="20"/>
            </w:pPr>
            <w:r/>
            <w:r>
              <w:rPr>
                <w:rFonts w:ascii="맑은 고딕" w:hAnsi="맑은 고딕" w:eastAsia="맑은 고딕" w:cs="맑은 고딕"/>
                <w:b w:val="0"/>
                <w:sz w:val="18"/>
              </w:rPr>
              <w:t>작성일·대리인</w:t>
            </w:r>
          </w:p>
        </w:tc>
        <w:tc>
          <w:tcPr>
            <w:tcW w:type="dxa" w:w="900"/>
          </w:tcPr>
          <w:p>
            <w:pPr>
              <w:spacing w:before="20" w:after="20"/>
            </w:pPr>
            <w:r/>
            <w:r>
              <w:rPr>
                <w:rFonts w:ascii="맑은 고딕" w:hAnsi="맑은 고딕" w:eastAsia="맑은 고딕" w:cs="맑은 고딕"/>
                <w:b w:val="0"/>
                <w:color w:val="1E7A2E"/>
                <w:sz w:val="18"/>
              </w:rPr>
              <w:t>✅</w:t>
            </w:r>
          </w:p>
        </w:tc>
        <w:tc>
          <w:tcPr>
            <w:tcW w:type="dxa" w:w="6400"/>
          </w:tcPr>
          <w:p>
            <w:pPr>
              <w:spacing w:before="20" w:after="20"/>
            </w:pPr>
            <w:r/>
            <w:r>
              <w:rPr>
                <w:rFonts w:ascii="맑은 고딕" w:hAnsi="맑은 고딕" w:eastAsia="맑은 고딕" w:cs="맑은 고딕"/>
                <w:b w:val="0"/>
                <w:sz w:val="18"/>
              </w:rPr>
              <w:t>2026. 6. 25. / 변호사 전은경</w:t>
            </w:r>
          </w:p>
        </w:tc>
      </w:tr>
    </w:tbl>
    <w:p>
      <w:pPr>
        <w:spacing w:after="40"/>
      </w:pPr>
    </w:p>
    <w:p>
      <w:pPr>
        <w:spacing w:before="240" w:after="80"/>
        <w:pBdr>
          <w:bottom w:val="single" w:sz="6" w:space="2" w:color="1F3864"/>
        </w:pBdr>
      </w:pPr>
      <w:r>
        <w:rPr>
          <w:rFonts w:ascii="맑은 고딕" w:hAnsi="맑은 고딕" w:eastAsia="맑은 고딕" w:cs="맑은 고딕"/>
          <w:b/>
          <w:color w:val="1F3864"/>
          <w:sz w:val="27"/>
        </w:rPr>
        <w:t>【2】 청구취지 정밀 분석  ★무관용 · 배점 59점★</w:t>
      </w:r>
    </w:p>
    <w:p>
      <w:pPr>
        <w:spacing w:before="160" w:after="40"/>
      </w:pPr>
      <w:r>
        <w:rPr>
          <w:rFonts w:ascii="맑은 고딕" w:hAnsi="맑은 고딕" w:eastAsia="맑은 고딕" w:cs="맑은 고딕"/>
          <w:b/>
          <w:color w:val="2E2E2E"/>
          <w:sz w:val="23"/>
        </w:rPr>
        <w:t>▶ 제1항 시효중단 확인 (배점 5) → 추정 1</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3"/>
        <w:gridCol w:w="4873"/>
      </w:tblGrid>
      <w:tr>
        <w:tc>
          <w:tcPr>
            <w:tcW w:type="dxa" w:w="4850"/>
            <w:shd w:val="clear" w:fill="FCE4E4"/>
          </w:tcPr>
          <w:p>
            <w:pPr>
              <w:spacing w:before="20" w:after="20"/>
            </w:pPr>
            <w:r/>
            <w:r>
              <w:rPr>
                <w:rFonts w:ascii="맑은 고딕" w:hAnsi="맑은 고딕" w:eastAsia="맑은 고딕" w:cs="맑은 고딕"/>
                <w:b w:val="0"/>
                <w:sz w:val="18"/>
              </w:rPr>
              <w:t>✗ 세직</w:t>
            </w:r>
          </w:p>
          <w:p>
            <w:pPr>
              <w:spacing w:before="20" w:after="20"/>
            </w:pPr>
            <w:r>
              <w:rPr>
                <w:rFonts w:ascii="맑은 고딕" w:hAnsi="맑은 고딕" w:eastAsia="맑은 고딕" w:cs="맑은 고딕"/>
                <w:b w:val="0"/>
                <w:sz w:val="18"/>
              </w:rPr>
              <w:t>원고와 피고 박은주 사이에서, 변제기 2016.12.31. 원금 10,000,000원, 이자 연 20%를 내용으로 하는 대여금채무의 시효중단을 위한 소제기가 있었음을 확인한다</w:t>
            </w:r>
          </w:p>
        </w:tc>
        <w:tc>
          <w:tcPr>
            <w:tcW w:type="dxa" w:w="4850"/>
            <w:shd w:val="clear" w:fill="E4F4E6"/>
          </w:tcPr>
          <w:p>
            <w:pPr>
              <w:spacing w:before="20" w:after="20"/>
            </w:pPr>
            <w:r/>
            <w:r>
              <w:rPr>
                <w:rFonts w:ascii="맑은 고딕" w:hAnsi="맑은 고딕" w:eastAsia="맑은 고딕" w:cs="맑은 고딕"/>
                <w:b w:val="0"/>
                <w:sz w:val="18"/>
              </w:rPr>
              <w:t>✓ 모범답안</w:t>
            </w:r>
          </w:p>
          <w:p>
            <w:pPr>
              <w:spacing w:before="20" w:after="20"/>
            </w:pPr>
            <w:r>
              <w:rPr>
                <w:rFonts w:ascii="맑은 고딕" w:hAnsi="맑은 고딕" w:eastAsia="맑은 고딕" w:cs="맑은 고딕"/>
                <w:b w:val="0"/>
                <w:sz w:val="18"/>
              </w:rPr>
              <w:t>원고와 피고 박은주 사이에서, 원고의 피고 박은주에 대한 춘천지방법원 2015가단36536호 대여금 사건의 2016.11.20.자 화해권고결정에 기한 채권의 소멸시효중단을 위하여 이 사건 소의 제기가 있었음을 확인한다</w:t>
            </w:r>
          </w:p>
        </w:tc>
      </w:tr>
    </w:tbl>
    <w:p>
      <w:pPr>
        <w:spacing w:after="40"/>
      </w:pPr>
    </w:p>
    <w:p>
      <w:pPr>
        <w:spacing w:before="40" w:after="120"/>
      </w:pPr>
      <w:r>
        <w:rPr>
          <w:rFonts w:ascii="맑은 고딕" w:hAnsi="맑은 고딕" w:eastAsia="맑은 고딕" w:cs="맑은 고딕"/>
          <w:b w:val="0"/>
          <w:color w:val="B00000"/>
          <w:sz w:val="18"/>
        </w:rPr>
        <w:t>→ ❌ 채권을 '화해권고결정(사건번호·일자)'으로 특정해야 함(내용 특정 X). 원금 1억을 1,000만으로 오기.</w:t>
      </w:r>
    </w:p>
    <w:p>
      <w:pPr>
        <w:spacing w:before="160" w:after="40"/>
      </w:pPr>
      <w:r>
        <w:rPr>
          <w:rFonts w:ascii="맑은 고딕" w:hAnsi="맑은 고딕" w:eastAsia="맑은 고딕" w:cs="맑은 고딕"/>
          <w:b/>
          <w:color w:val="2E2E2E"/>
          <w:sz w:val="23"/>
        </w:rPr>
        <w:t>▶ 제2·3항 노해일 — 대위 제1가등기말소(10) + 사해행위·제2가등기말소(12) → 추정 4+6</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3"/>
        <w:gridCol w:w="4873"/>
      </w:tblGrid>
      <w:tr>
        <w:tc>
          <w:tcPr>
            <w:tcW w:type="dxa" w:w="4850"/>
            <w:shd w:val="clear" w:fill="FCE4E4"/>
          </w:tcPr>
          <w:p>
            <w:pPr>
              <w:spacing w:before="20" w:after="20"/>
            </w:pPr>
            <w:r/>
            <w:r>
              <w:rPr>
                <w:rFonts w:ascii="맑은 고딕" w:hAnsi="맑은 고딕" w:eastAsia="맑은 고딕" w:cs="맑은 고딕"/>
                <w:b w:val="0"/>
                <w:sz w:val="18"/>
              </w:rPr>
              <w:t>✗ 세직 (두 청구 병합)</w:t>
            </w:r>
          </w:p>
          <w:p>
            <w:pPr>
              <w:spacing w:before="20" w:after="20"/>
            </w:pPr>
            <w:r>
              <w:rPr>
                <w:rFonts w:ascii="맑은 고딕" w:hAnsi="맑은 고딕" w:eastAsia="맑은 고딕" w:cs="맑은 고딕"/>
                <w:b w:val="0"/>
                <w:sz w:val="18"/>
              </w:rPr>
              <w:t>2나. 피고 노해일은 피고 박은주에게 …춘천지방법원 2025.7.1. 접수 제7373호 가등기 및 …2015.8.20. 접수 제7373호 가등기의 말소등기 절차를 각 이행하라.</w:t>
            </w:r>
          </w:p>
        </w:tc>
        <w:tc>
          <w:tcPr>
            <w:tcW w:type="dxa" w:w="4850"/>
            <w:shd w:val="clear" w:fill="E4F4E6"/>
          </w:tcPr>
          <w:p>
            <w:pPr>
              <w:spacing w:before="20" w:after="20"/>
            </w:pPr>
            <w:r/>
            <w:r>
              <w:rPr>
                <w:rFonts w:ascii="맑은 고딕" w:hAnsi="맑은 고딕" w:eastAsia="맑은 고딕" w:cs="맑은 고딕"/>
                <w:b w:val="0"/>
                <w:sz w:val="18"/>
              </w:rPr>
              <w:t>✓ 모범답안 (별개 2항목)</w:t>
            </w:r>
          </w:p>
          <w:p>
            <w:pPr>
              <w:spacing w:before="20" w:after="20"/>
            </w:pPr>
            <w:r>
              <w:rPr>
                <w:rFonts w:ascii="맑은 고딕" w:hAnsi="맑은 고딕" w:eastAsia="맑은 고딕" w:cs="맑은 고딕"/>
                <w:b w:val="0"/>
                <w:sz w:val="18"/>
              </w:rPr>
              <w:t>2. …춘천지방법원 등기과 2015.8.20. 접수 제7373호로 마친 가등기에 대하여 「2025.8.10. 제척기간 도과를 원인으로 한」 말소등기절차를 이행하라.</w:t>
            </w:r>
          </w:p>
          <w:p>
            <w:pPr>
              <w:spacing w:before="20" w:after="20"/>
            </w:pPr>
            <w:r>
              <w:rPr>
                <w:rFonts w:ascii="맑은 고딕" w:hAnsi="맑은 고딕" w:eastAsia="맑은 고딕" w:cs="맑은 고딕"/>
                <w:b w:val="0"/>
                <w:sz w:val="18"/>
              </w:rPr>
              <w:t>3나. …위 법원 등기과 2025.7.1. 접수 제8484호로 마친 가등기의 말소등기절차를 이행하라.</w:t>
            </w:r>
          </w:p>
        </w:tc>
      </w:tr>
    </w:tbl>
    <w:p>
      <w:pPr>
        <w:spacing w:after="40"/>
      </w:pPr>
    </w:p>
    <w:p>
      <w:pPr>
        <w:spacing w:before="40" w:after="120"/>
      </w:pPr>
      <w:r>
        <w:rPr>
          <w:rFonts w:ascii="맑은 고딕" w:hAnsi="맑은 고딕" w:eastAsia="맑은 고딕" w:cs="맑은 고딕"/>
          <w:b w:val="0"/>
          <w:color w:val="B00000"/>
          <w:sz w:val="18"/>
        </w:rPr>
        <w:t>→ ❌ ①대위말소·사해행위말소를 별개 청구로 분리(배점 10/12).  ②제2가등기 접수번호 제8484호(세직 7373 오기).  ③등기소 「춘천지법 등기과」 누락.  ★④제척기간 도과=후발적 실효사유라 말소등기 원인(「2025.8.10. 제척기간 도과를 원인으로」)을 청구취지에 기재해야 함 — 일반 '말소등기 등기원인 생략' 원칙의 예외.</w:t>
      </w:r>
    </w:p>
    <w:p>
      <w:pPr>
        <w:spacing w:before="160" w:after="40"/>
      </w:pPr>
      <w:r>
        <w:rPr>
          <w:rFonts w:ascii="맑은 고딕" w:hAnsi="맑은 고딕" w:eastAsia="맑은 고딕" w:cs="맑은 고딕"/>
          <w:b/>
          <w:color w:val="2E2E2E"/>
          <w:sz w:val="23"/>
        </w:rPr>
        <w:t>▶ 제4항 추봉석 주택인도 (배점 10) → 추정 3</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3"/>
        <w:gridCol w:w="4873"/>
      </w:tblGrid>
      <w:tr>
        <w:tc>
          <w:tcPr>
            <w:tcW w:type="dxa" w:w="4850"/>
            <w:shd w:val="clear" w:fill="FCE4E4"/>
          </w:tcPr>
          <w:p>
            <w:pPr>
              <w:spacing w:before="20" w:after="20"/>
            </w:pPr>
            <w:r/>
            <w:r>
              <w:rPr>
                <w:rFonts w:ascii="맑은 고딕" w:hAnsi="맑은 고딕" w:eastAsia="맑은 고딕" w:cs="맑은 고딕"/>
                <w:b w:val="0"/>
                <w:sz w:val="18"/>
              </w:rPr>
              <w:t>✗ 세직</w:t>
            </w:r>
          </w:p>
          <w:p>
            <w:pPr>
              <w:spacing w:before="20" w:after="20"/>
            </w:pPr>
            <w:r>
              <w:rPr>
                <w:rFonts w:ascii="맑은 고딕" w:hAnsi="맑은 고딕" w:eastAsia="맑은 고딕" w:cs="맑은 고딕"/>
                <w:b w:val="0"/>
                <w:sz w:val="18"/>
              </w:rPr>
              <w:t>가. 원고에게 별지 제3항 건물을 인도하고,</w:t>
            </w:r>
          </w:p>
          <w:p>
            <w:pPr>
              <w:spacing w:before="20" w:after="20"/>
            </w:pPr>
            <w:r>
              <w:rPr>
                <w:rFonts w:ascii="맑은 고딕" w:hAnsi="맑은 고딕" w:eastAsia="맑은 고딕" w:cs="맑은 고딕"/>
                <w:b w:val="0"/>
                <w:sz w:val="18"/>
              </w:rPr>
              <w:t>나. 강소유(710312-…)로부터 10,000,000원에서 2024.12.31.부터 월 1,000,000원 공제한 나머지 지급받음과 동시에 별지 제2항 건물 인도.</w:t>
            </w:r>
          </w:p>
          <w:p>
            <w:pPr>
              <w:spacing w:before="20" w:after="20"/>
            </w:pPr>
            <w:r>
              <w:rPr>
                <w:rFonts w:ascii="맑은 고딕" w:hAnsi="맑은 고딕" w:eastAsia="맑은 고딕" w:cs="맑은 고딕"/>
                <w:b w:val="0"/>
                <w:sz w:val="18"/>
              </w:rPr>
              <w:t>(반론3에서 불가분성으로 2억→1억 안분)</w:t>
            </w:r>
          </w:p>
        </w:tc>
        <w:tc>
          <w:tcPr>
            <w:tcW w:type="dxa" w:w="4850"/>
            <w:shd w:val="clear" w:fill="E4F4E6"/>
          </w:tcPr>
          <w:p>
            <w:pPr>
              <w:spacing w:before="20" w:after="20"/>
            </w:pPr>
            <w:r/>
            <w:r>
              <w:rPr>
                <w:rFonts w:ascii="맑은 고딕" w:hAnsi="맑은 고딕" w:eastAsia="맑은 고딕" w:cs="맑은 고딕"/>
                <w:b w:val="0"/>
                <w:sz w:val="18"/>
              </w:rPr>
              <w:t>✓ 모범답안</w:t>
            </w:r>
          </w:p>
          <w:p>
            <w:pPr>
              <w:spacing w:before="20" w:after="20"/>
            </w:pPr>
            <w:r>
              <w:rPr>
                <w:rFonts w:ascii="맑은 고딕" w:hAnsi="맑은 고딕" w:eastAsia="맑은 고딕" w:cs="맑은 고딕"/>
                <w:b w:val="0"/>
                <w:sz w:val="18"/>
              </w:rPr>
              <w:t>가. 소외 강소유[1971.3.12.생, 주소…]로부터 2억 원을 지급받음과 동시에 별지 제2항 주택을 인도하고,</w:t>
            </w:r>
          </w:p>
          <w:p>
            <w:pPr>
              <w:spacing w:before="20" w:after="20"/>
            </w:pPr>
            <w:r>
              <w:rPr>
                <w:rFonts w:ascii="맑은 고딕" w:hAnsi="맑은 고딕" w:eastAsia="맑은 고딕" w:cs="맑은 고딕"/>
                <w:b w:val="0"/>
                <w:sz w:val="18"/>
              </w:rPr>
              <w:t>나. 별지 제3항 주택을 인도하라.</w:t>
            </w:r>
          </w:p>
          <w:p>
            <w:pPr>
              <w:spacing w:before="20" w:after="20"/>
            </w:pPr>
            <w:r>
              <w:rPr>
                <w:rFonts w:ascii="맑은 고딕" w:hAnsi="맑은 고딕" w:eastAsia="맑은 고딕" w:cs="맑은 고딕"/>
                <w:b w:val="0"/>
                <w:sz w:val="18"/>
              </w:rPr>
              <w:t>(상환이행액 = 공사잔금 2억 전액. 불가분성으로 102호가 잔금 전부 담보)</w:t>
            </w:r>
          </w:p>
        </w:tc>
      </w:tr>
    </w:tbl>
    <w:p>
      <w:pPr>
        <w:spacing w:after="40"/>
      </w:pPr>
    </w:p>
    <w:p>
      <w:pPr>
        <w:spacing w:before="40" w:after="120"/>
      </w:pPr>
      <w:r>
        <w:rPr>
          <w:rFonts w:ascii="맑은 고딕" w:hAnsi="맑은 고딕" w:eastAsia="맑은 고딕" w:cs="맑은 고딕"/>
          <w:b w:val="0"/>
          <w:color w:val="B00000"/>
          <w:sz w:val="18"/>
        </w:rPr>
        <w:t>→ ❌ 상환이행액이 정반대. 유치권 불가분성 → 102호가 공사잔금 2억 전부 담보(안분 X). 차임·지연손해금은 피담보채권 불포함이나 상환이행액은 2억 그대로. 세직은 안분 1억 + 차임 공제 + 금액 자릿수(1천만) 3중 오류.</w:t>
      </w:r>
    </w:p>
    <w:p>
      <w:pPr>
        <w:spacing w:before="160" w:after="40"/>
      </w:pPr>
      <w:r>
        <w:rPr>
          <w:rFonts w:ascii="맑은 고딕" w:hAnsi="맑은 고딕" w:eastAsia="맑은 고딕" w:cs="맑은 고딕"/>
          <w:b/>
          <w:color w:val="2E2E2E"/>
          <w:sz w:val="23"/>
        </w:rPr>
        <w:t>▶ 제5항 도희준 대여금 (배점 10) → 추정 1</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3"/>
        <w:gridCol w:w="4873"/>
      </w:tblGrid>
      <w:tr>
        <w:tc>
          <w:tcPr>
            <w:tcW w:type="dxa" w:w="4850"/>
            <w:shd w:val="clear" w:fill="FCE4E4"/>
          </w:tcPr>
          <w:p>
            <w:pPr>
              <w:spacing w:before="20" w:after="20"/>
            </w:pPr>
            <w:r/>
            <w:r>
              <w:rPr>
                <w:rFonts w:ascii="맑은 고딕" w:hAnsi="맑은 고딕" w:eastAsia="맑은 고딕" w:cs="맑은 고딕"/>
                <w:b w:val="0"/>
                <w:sz w:val="18"/>
              </w:rPr>
              <w:t>✗ 세직</w:t>
            </w:r>
          </w:p>
          <w:p>
            <w:pPr>
              <w:spacing w:before="20" w:after="20"/>
            </w:pPr>
            <w:r>
              <w:rPr>
                <w:rFonts w:ascii="맑은 고딕" w:hAnsi="맑은 고딕" w:eastAsia="맑은 고딕" w:cs="맑은 고딕"/>
                <w:b w:val="0"/>
                <w:sz w:val="18"/>
              </w:rPr>
              <w:t>4. 피고 도희준은 원고에게 10,000,000우</w:t>
            </w:r>
          </w:p>
        </w:tc>
        <w:tc>
          <w:tcPr>
            <w:tcW w:type="dxa" w:w="4850"/>
            <w:shd w:val="clear" w:fill="E4F4E6"/>
          </w:tcPr>
          <w:p>
            <w:pPr>
              <w:spacing w:before="20" w:after="20"/>
            </w:pPr>
            <w:r/>
            <w:r>
              <w:rPr>
                <w:rFonts w:ascii="맑은 고딕" w:hAnsi="맑은 고딕" w:eastAsia="맑은 고딕" w:cs="맑은 고딕"/>
                <w:b w:val="0"/>
                <w:sz w:val="18"/>
              </w:rPr>
              <w:t>✓ 모범답안</w:t>
            </w:r>
          </w:p>
          <w:p>
            <w:pPr>
              <w:spacing w:before="20" w:after="20"/>
            </w:pPr>
            <w:r>
              <w:rPr>
                <w:rFonts w:ascii="맑은 고딕" w:hAnsi="맑은 고딕" w:eastAsia="맑은 고딕" w:cs="맑은 고딕"/>
                <w:b w:val="0"/>
                <w:sz w:val="18"/>
              </w:rPr>
              <w:t>5. 피고 도희준은 원고에게 97,700,000원 및 이에 대하여 2025.1.1.부터 다 갚는 날까지 월 1%의 비율로 계산한 돈을 지급하라.</w:t>
            </w:r>
          </w:p>
        </w:tc>
      </w:tr>
    </w:tbl>
    <w:p>
      <w:pPr>
        <w:spacing w:after="40"/>
      </w:pPr>
    </w:p>
    <w:p>
      <w:pPr>
        <w:spacing w:before="40" w:after="120"/>
      </w:pPr>
      <w:r>
        <w:rPr>
          <w:rFonts w:ascii="맑은 고딕" w:hAnsi="맑은 고딕" w:eastAsia="맑은 고딕" w:cs="맑은 고딕"/>
          <w:b w:val="0"/>
          <w:color w:val="B00000"/>
          <w:sz w:val="18"/>
        </w:rPr>
        <w:t>→ ❌ 청구취지 미완성(「10,000,000우」에서 끊김). 정답 9,770만원(대여 1억 − 일상가사 상계 230만 충당).</w:t>
      </w:r>
    </w:p>
    <w:p>
      <w:pPr>
        <w:spacing w:before="160" w:after="40"/>
      </w:pPr>
      <w:r>
        <w:rPr>
          <w:rFonts w:ascii="맑은 고딕" w:hAnsi="맑은 고딕" w:eastAsia="맑은 고딕" w:cs="맑은 고딕"/>
          <w:b/>
          <w:color w:val="2E2E2E"/>
          <w:sz w:val="23"/>
        </w:rPr>
        <w:t>▶ 제6항 연대보증 (배점 10) → 추정 1  ★가족법 미학습</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3"/>
        <w:gridCol w:w="4873"/>
      </w:tblGrid>
      <w:tr>
        <w:tc>
          <w:tcPr>
            <w:tcW w:type="dxa" w:w="4850"/>
            <w:shd w:val="clear" w:fill="FCE4E4"/>
          </w:tcPr>
          <w:p>
            <w:pPr>
              <w:spacing w:before="20" w:after="20"/>
            </w:pPr>
            <w:r/>
            <w:r>
              <w:rPr>
                <w:rFonts w:ascii="맑은 고딕" w:hAnsi="맑은 고딕" w:eastAsia="맑은 고딕" w:cs="맑은 고딕"/>
                <w:b w:val="0"/>
                <w:sz w:val="18"/>
              </w:rPr>
              <w:t>✗ 세직</w:t>
            </w:r>
          </w:p>
          <w:p>
            <w:pPr>
              <w:spacing w:before="20" w:after="20"/>
            </w:pPr>
            <w:r>
              <w:rPr>
                <w:rFonts w:ascii="맑은 고딕" w:hAnsi="맑은 고딕" w:eastAsia="맑은 고딕" w:cs="맑은 고딕"/>
                <w:b w:val="0"/>
                <w:sz w:val="18"/>
              </w:rPr>
              <w:t>5. 피고 도철신은 원고에게 45,000,000원 및 이에 대한 2026.5.16.부터…연 12%…</w:t>
            </w:r>
          </w:p>
        </w:tc>
        <w:tc>
          <w:tcPr>
            <w:tcW w:type="dxa" w:w="4850"/>
            <w:shd w:val="clear" w:fill="E4F4E6"/>
          </w:tcPr>
          <w:p>
            <w:pPr>
              <w:spacing w:before="20" w:after="20"/>
            </w:pPr>
            <w:r/>
            <w:r>
              <w:rPr>
                <w:rFonts w:ascii="맑은 고딕" w:hAnsi="맑은 고딕" w:eastAsia="맑은 고딕" w:cs="맑은 고딕"/>
                <w:b w:val="0"/>
                <w:sz w:val="18"/>
              </w:rPr>
              <w:t>✓ 모범답안</w:t>
            </w:r>
          </w:p>
          <w:p>
            <w:pPr>
              <w:spacing w:before="20" w:after="20"/>
            </w:pPr>
            <w:r>
              <w:rPr>
                <w:rFonts w:ascii="맑은 고딕" w:hAnsi="맑은 고딕" w:eastAsia="맑은 고딕" w:cs="맑은 고딕"/>
                <w:b w:val="0"/>
                <w:sz w:val="18"/>
              </w:rPr>
              <w:t>6. 피고 민화정은 피고 도희준과 연대하여 망 도영일로부터 상속받은 재산 범위 내에서 원고에게 제5항 기재 돈을 지급하라.</w:t>
            </w:r>
          </w:p>
        </w:tc>
      </w:tr>
    </w:tbl>
    <w:p>
      <w:pPr>
        <w:spacing w:after="40"/>
      </w:pPr>
    </w:p>
    <w:p>
      <w:pPr>
        <w:spacing w:before="40" w:after="80"/>
      </w:pPr>
      <w:r>
        <w:rPr>
          <w:rFonts w:ascii="맑은 고딕" w:hAnsi="맑은 고딕" w:eastAsia="맑은 고딕" w:cs="맑은 고딕"/>
          <w:b w:val="0"/>
          <w:color w:val="B86A00"/>
          <w:sz w:val="18"/>
        </w:rPr>
        <w:t>→ ❌ 피고=민화정(세직 도철신). 「도희준과 연대하여」·「상속재산 범위 내에서」(한정승인). 상속 판단은 가족법 미학습 범위.</w:t>
      </w:r>
    </w:p>
    <w:p>
      <w:pPr>
        <w:spacing w:before="160" w:after="40"/>
      </w:pPr>
      <w:r>
        <w:rPr>
          <w:rFonts w:ascii="맑은 고딕" w:hAnsi="맑은 고딕" w:eastAsia="맑은 고딕" w:cs="맑은 고딕"/>
          <w:b/>
          <w:color w:val="2E2E2E"/>
          <w:sz w:val="23"/>
        </w:rPr>
        <w:t>▶ 소송비용·가집행 (각 1) → 0</w:t>
      </w:r>
    </w:p>
    <w:p>
      <w:pPr>
        <w:spacing w:before="40" w:after="80"/>
      </w:pPr>
      <w:r>
        <w:rPr>
          <w:rFonts w:ascii="맑은 고딕" w:hAnsi="맑은 고딕" w:eastAsia="맑은 고딕" w:cs="맑은 고딕"/>
          <w:b w:val="0"/>
          <w:color w:val="B00000"/>
          <w:sz w:val="18"/>
        </w:rPr>
        <w:t>❌ 두 항 모두 누락. 정답: 「7. 소송비용은 피고들이 부담한다.  8. 제4항 내지 6항은 가집행할 수 있다.」(가집행은 금전·인도 청구항 한정). 오답노트 J블록 반복.</w:t>
      </w:r>
    </w:p>
    <w:p>
      <w:pPr>
        <w:spacing w:before="240" w:after="80"/>
        <w:pBdr>
          <w:bottom w:val="single" w:sz="6" w:space="2" w:color="1F3864"/>
        </w:pBdr>
      </w:pPr>
      <w:r>
        <w:rPr>
          <w:rFonts w:ascii="맑은 고딕" w:hAnsi="맑은 고딕" w:eastAsia="맑은 고딕" w:cs="맑은 고딕"/>
          <w:b/>
          <w:color w:val="1F3864"/>
          <w:sz w:val="27"/>
        </w:rPr>
        <w:t>【3】 요건사실·청구원인 실체 법리 검토  (배점 99점)</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49"/>
        <w:gridCol w:w="3249"/>
        <w:gridCol w:w="3249"/>
      </w:tblGrid>
      <w:tr>
        <w:tc>
          <w:tcPr>
            <w:tcW w:type="dxa" w:w="2000"/>
            <w:shd w:val="clear" w:fill="1F3864"/>
          </w:tcPr>
          <w:p>
            <w:pPr>
              <w:spacing w:before="20" w:after="20"/>
            </w:pPr>
            <w:r/>
            <w:r>
              <w:rPr>
                <w:rFonts w:ascii="맑은 고딕" w:hAnsi="맑은 고딕" w:eastAsia="맑은 고딕" w:cs="맑은 고딕"/>
                <w:b/>
                <w:color w:val="FFFFFF"/>
                <w:sz w:val="19"/>
              </w:rPr>
              <w:t>청구 (배점)</w:t>
            </w:r>
          </w:p>
        </w:tc>
        <w:tc>
          <w:tcPr>
            <w:tcW w:type="dxa" w:w="1200"/>
            <w:shd w:val="clear" w:fill="1F3864"/>
          </w:tcPr>
          <w:p>
            <w:pPr>
              <w:spacing w:before="20" w:after="20"/>
            </w:pPr>
            <w:r/>
            <w:r>
              <w:rPr>
                <w:rFonts w:ascii="맑은 고딕" w:hAnsi="맑은 고딕" w:eastAsia="맑은 고딕" w:cs="맑은 고딕"/>
                <w:b/>
                <w:color w:val="FFFFFF"/>
                <w:sz w:val="19"/>
              </w:rPr>
              <w:t>판정</w:t>
            </w:r>
          </w:p>
        </w:tc>
        <w:tc>
          <w:tcPr>
            <w:tcW w:type="dxa" w:w="6500"/>
            <w:shd w:val="clear" w:fill="1F3864"/>
          </w:tcPr>
          <w:p>
            <w:pPr>
              <w:spacing w:before="20" w:after="20"/>
            </w:pPr>
            <w:r/>
            <w:r>
              <w:rPr>
                <w:rFonts w:ascii="맑은 고딕" w:hAnsi="맑은 고딕" w:eastAsia="맑은 고딕" w:cs="맑은 고딕"/>
                <w:b/>
                <w:color w:val="FFFFFF"/>
                <w:sz w:val="19"/>
              </w:rPr>
              <w:t>핵심</w:t>
            </w:r>
          </w:p>
        </w:tc>
      </w:tr>
      <w:tr>
        <w:tc>
          <w:tcPr>
            <w:tcW w:type="dxa" w:w="2000"/>
          </w:tcPr>
          <w:p>
            <w:pPr>
              <w:spacing w:before="20" w:after="20"/>
            </w:pPr>
            <w:r/>
            <w:r>
              <w:rPr>
                <w:rFonts w:ascii="맑은 고딕" w:hAnsi="맑은 고딕" w:eastAsia="맑은 고딕" w:cs="맑은 고딕"/>
                <w:b w:val="0"/>
                <w:sz w:val="18"/>
              </w:rPr>
              <w:t>시효중단 확인 (10)</w:t>
            </w:r>
          </w:p>
        </w:tc>
        <w:tc>
          <w:tcPr>
            <w:tcW w:type="dxa" w:w="1200"/>
          </w:tcPr>
          <w:p>
            <w:pPr>
              <w:spacing w:before="20" w:after="20"/>
            </w:pPr>
            <w:r/>
            <w:r>
              <w:rPr>
                <w:rFonts w:ascii="맑은 고딕" w:hAnsi="맑은 고딕" w:eastAsia="맑은 고딕" w:cs="맑은 고딕"/>
                <w:b w:val="0"/>
                <w:color w:val="1E7A2E"/>
                <w:sz w:val="18"/>
              </w:rPr>
              <w:t>✅ 양호</w:t>
            </w:r>
          </w:p>
        </w:tc>
        <w:tc>
          <w:tcPr>
            <w:tcW w:type="dxa" w:w="6500"/>
          </w:tcPr>
          <w:p>
            <w:pPr>
              <w:spacing w:before="20" w:after="20"/>
            </w:pPr>
            <w:r/>
            <w:r>
              <w:rPr>
                <w:rFonts w:ascii="맑은 고딕" w:hAnsi="맑은 고딕" w:eastAsia="맑은 고딕" w:cs="맑은 고딕"/>
                <w:b w:val="0"/>
                <w:sz w:val="18"/>
              </w:rPr>
              <w:t>화해권고 확정·시효중단 목적·확인이익 + 채무면제 반박. (모범은 '새로운 방식 확인소송 소송물 한정' 강조 / 세직은 §506 각도 — 결론 동일)</w:t>
            </w:r>
          </w:p>
        </w:tc>
      </w:tr>
      <w:tr>
        <w:tc>
          <w:tcPr>
            <w:tcW w:type="dxa" w:w="2000"/>
            <w:shd w:val="clear" w:fill="F2F2F2"/>
          </w:tcPr>
          <w:p>
            <w:pPr>
              <w:spacing w:before="20" w:after="20"/>
            </w:pPr>
            <w:r/>
            <w:r>
              <w:rPr>
                <w:rFonts w:ascii="맑은 고딕" w:hAnsi="맑은 고딕" w:eastAsia="맑은 고딕" w:cs="맑은 고딕"/>
                <w:b w:val="0"/>
                <w:sz w:val="18"/>
              </w:rPr>
              <w:t>제1가등기 대위말소 (15)</w:t>
            </w:r>
          </w:p>
        </w:tc>
        <w:tc>
          <w:tcPr>
            <w:tcW w:type="dxa" w:w="1200"/>
            <w:shd w:val="clear" w:fill="F2F2F2"/>
          </w:tcPr>
          <w:p>
            <w:pPr>
              <w:spacing w:before="20" w:after="20"/>
            </w:pPr>
            <w:r/>
            <w:r>
              <w:rPr>
                <w:rFonts w:ascii="맑은 고딕" w:hAnsi="맑은 고딕" w:eastAsia="맑은 고딕" w:cs="맑은 고딕"/>
                <w:b w:val="0"/>
                <w:color w:val="1E7A2E"/>
                <w:sz w:val="18"/>
              </w:rPr>
              <w:t>✅ 우수</w:t>
            </w:r>
          </w:p>
        </w:tc>
        <w:tc>
          <w:tcPr>
            <w:tcW w:type="dxa" w:w="6500"/>
            <w:shd w:val="clear" w:fill="F2F2F2"/>
          </w:tcPr>
          <w:p>
            <w:pPr>
              <w:spacing w:before="20" w:after="20"/>
            </w:pPr>
            <w:r/>
            <w:r>
              <w:rPr>
                <w:rFonts w:ascii="맑은 고딕" w:hAnsi="맑은 고딕" w:eastAsia="맑은 고딕" w:cs="맑은 고딕"/>
                <w:b w:val="0"/>
                <w:sz w:val="18"/>
              </w:rPr>
              <w:t>예약완결권 10년 제척기간 도과(2025.8.10.)→원인무효, 대위·무자력·권리불행사, 점유 반박(제척기간 중단 없음) 정확</w:t>
            </w:r>
          </w:p>
        </w:tc>
      </w:tr>
      <w:tr>
        <w:tc>
          <w:tcPr>
            <w:tcW w:type="dxa" w:w="2000"/>
          </w:tcPr>
          <w:p>
            <w:pPr>
              <w:spacing w:before="20" w:after="20"/>
            </w:pPr>
            <w:r/>
            <w:r>
              <w:rPr>
                <w:rFonts w:ascii="맑은 고딕" w:hAnsi="맑은 고딕" w:eastAsia="맑은 고딕" w:cs="맑은 고딕"/>
                <w:b w:val="0"/>
                <w:sz w:val="18"/>
              </w:rPr>
              <w:t>사해행위·제2가등기말소 (15)</w:t>
            </w:r>
          </w:p>
        </w:tc>
        <w:tc>
          <w:tcPr>
            <w:tcW w:type="dxa" w:w="1200"/>
          </w:tcPr>
          <w:p>
            <w:pPr>
              <w:spacing w:before="20" w:after="20"/>
            </w:pPr>
            <w:r/>
            <w:r>
              <w:rPr>
                <w:rFonts w:ascii="맑은 고딕" w:hAnsi="맑은 고딕" w:eastAsia="맑은 고딕" w:cs="맑은 고딕"/>
                <w:b w:val="0"/>
                <w:color w:val="1E7A2E"/>
                <w:sz w:val="18"/>
              </w:rPr>
              <w:t>✅ 우수</w:t>
            </w:r>
          </w:p>
        </w:tc>
        <w:tc>
          <w:tcPr>
            <w:tcW w:type="dxa" w:w="6500"/>
          </w:tcPr>
          <w:p>
            <w:pPr>
              <w:spacing w:before="20" w:after="20"/>
            </w:pPr>
            <w:r/>
            <w:r>
              <w:rPr>
                <w:rFonts w:ascii="맑은 고딕" w:hAnsi="맑은 고딕" w:eastAsia="맑은 고딕" w:cs="맑은 고딕"/>
                <w:b w:val="0"/>
                <w:sz w:val="18"/>
              </w:rPr>
              <w:t>채무초과 유일재산 처분, 악의 추정, 원물반환, 가액반환 반박(목적물 불가분·전부취소) 정확</w:t>
            </w:r>
          </w:p>
        </w:tc>
      </w:tr>
      <w:tr>
        <w:tc>
          <w:tcPr>
            <w:tcW w:type="dxa" w:w="2000"/>
            <w:shd w:val="clear" w:fill="F2F2F2"/>
          </w:tcPr>
          <w:p>
            <w:pPr>
              <w:spacing w:before="20" w:after="20"/>
            </w:pPr>
            <w:r/>
            <w:r>
              <w:rPr>
                <w:rFonts w:ascii="맑은 고딕" w:hAnsi="맑은 고딕" w:eastAsia="맑은 고딕" w:cs="맑은 고딕"/>
                <w:b w:val="0"/>
                <w:sz w:val="18"/>
              </w:rPr>
              <w:t>주택인도 (25)</w:t>
            </w:r>
          </w:p>
        </w:tc>
        <w:tc>
          <w:tcPr>
            <w:tcW w:type="dxa" w:w="1200"/>
            <w:shd w:val="clear" w:fill="F2F2F2"/>
          </w:tcPr>
          <w:p>
            <w:pPr>
              <w:spacing w:before="20" w:after="20"/>
            </w:pPr>
            <w:r/>
            <w:r>
              <w:rPr>
                <w:rFonts w:ascii="맑은 고딕" w:hAnsi="맑은 고딕" w:eastAsia="맑은 고딕" w:cs="맑은 고딕"/>
                <w:b w:val="0"/>
                <w:color w:val="B86A00"/>
                <w:sz w:val="18"/>
              </w:rPr>
              <w:t>⚠️ 우수하나 방향오류</w:t>
            </w:r>
          </w:p>
        </w:tc>
        <w:tc>
          <w:tcPr>
            <w:tcW w:type="dxa" w:w="6500"/>
            <w:shd w:val="clear" w:fill="F2F2F2"/>
          </w:tcPr>
          <w:p>
            <w:pPr>
              <w:spacing w:before="20" w:after="20"/>
            </w:pPr>
            <w:r/>
            <w:r>
              <w:rPr>
                <w:rFonts w:ascii="맑은 고딕" w:hAnsi="맑은 고딕" w:eastAsia="맑은 고딕" w:cs="맑은 고딕"/>
                <w:b w:val="0"/>
                <w:sz w:val="18"/>
              </w:rPr>
              <w:t>유치권·무단임대 소멸청구(201호)·소멸사유·사용종료 후 반박 정확. 단 불가분성 결론이 반대 — 세직 '2억→1억 안분', 정답 '102호가 잔금 2억 전부 담보'</w:t>
            </w:r>
          </w:p>
        </w:tc>
      </w:tr>
      <w:tr>
        <w:tc>
          <w:tcPr>
            <w:tcW w:type="dxa" w:w="2000"/>
          </w:tcPr>
          <w:p>
            <w:pPr>
              <w:spacing w:before="20" w:after="20"/>
            </w:pPr>
            <w:r/>
            <w:r>
              <w:rPr>
                <w:rFonts w:ascii="맑은 고딕" w:hAnsi="맑은 고딕" w:eastAsia="맑은 고딕" w:cs="맑은 고딕"/>
                <w:b w:val="0"/>
                <w:sz w:val="18"/>
              </w:rPr>
              <w:t>대여금 (12)</w:t>
            </w:r>
          </w:p>
        </w:tc>
        <w:tc>
          <w:tcPr>
            <w:tcW w:type="dxa" w:w="1200"/>
          </w:tcPr>
          <w:p>
            <w:pPr>
              <w:spacing w:before="20" w:after="20"/>
            </w:pPr>
            <w:r/>
            <w:r>
              <w:rPr>
                <w:rFonts w:ascii="맑은 고딕" w:hAnsi="맑은 고딕" w:eastAsia="맑은 고딕" w:cs="맑은 고딕"/>
                <w:b w:val="0"/>
                <w:color w:val="B86A00"/>
                <w:sz w:val="18"/>
              </w:rPr>
              <w:t>⚠️ 혼재</w:t>
            </w:r>
          </w:p>
        </w:tc>
        <w:tc>
          <w:tcPr>
            <w:tcW w:type="dxa" w:w="6500"/>
          </w:tcPr>
          <w:p>
            <w:pPr>
              <w:spacing w:before="20" w:after="20"/>
            </w:pPr>
            <w:r/>
            <w:r>
              <w:rPr>
                <w:rFonts w:ascii="맑은 고딕" w:hAnsi="맑은 고딕" w:eastAsia="맑은 고딕" w:cs="맑은 고딕"/>
                <w:b w:val="0"/>
                <w:sz w:val="18"/>
              </w:rPr>
              <w:t>전부명령 무효(무권대리·유죄확정) 정확. 일상가사 §832 상계 방향 맞으나 충당 계산·청구취지 미완성</w:t>
            </w:r>
          </w:p>
        </w:tc>
      </w:tr>
      <w:tr>
        <w:tc>
          <w:tcPr>
            <w:tcW w:type="dxa" w:w="2000"/>
            <w:shd w:val="clear" w:fill="F2F2F2"/>
          </w:tcPr>
          <w:p>
            <w:pPr>
              <w:spacing w:before="20" w:after="20"/>
            </w:pPr>
            <w:r/>
            <w:r>
              <w:rPr>
                <w:rFonts w:ascii="맑은 고딕" w:hAnsi="맑은 고딕" w:eastAsia="맑은 고딕" w:cs="맑은 고딕"/>
                <w:b w:val="0"/>
                <w:sz w:val="18"/>
              </w:rPr>
              <w:t>연대보증 (21)</w:t>
            </w:r>
          </w:p>
        </w:tc>
        <w:tc>
          <w:tcPr>
            <w:tcW w:type="dxa" w:w="1200"/>
            <w:shd w:val="clear" w:fill="F2F2F2"/>
          </w:tcPr>
          <w:p>
            <w:pPr>
              <w:spacing w:before="20" w:after="20"/>
            </w:pPr>
            <w:r/>
            <w:r>
              <w:rPr>
                <w:rFonts w:ascii="맑은 고딕" w:hAnsi="맑은 고딕" w:eastAsia="맑은 고딕" w:cs="맑은 고딕"/>
                <w:b w:val="0"/>
                <w:color w:val="B00000"/>
                <w:sz w:val="18"/>
              </w:rPr>
              <w:t>❌ 대부분 미학습</w:t>
            </w:r>
          </w:p>
        </w:tc>
        <w:tc>
          <w:tcPr>
            <w:tcW w:type="dxa" w:w="6500"/>
            <w:shd w:val="clear" w:fill="F2F2F2"/>
          </w:tcPr>
          <w:p>
            <w:pPr>
              <w:spacing w:before="20" w:after="20"/>
            </w:pPr>
            <w:r/>
            <w:r>
              <w:rPr>
                <w:rFonts w:ascii="맑은 고딕" w:hAnsi="맑은 고딕" w:eastAsia="맑은 고딕" w:cs="맑은 고딕"/>
                <w:b w:val="0"/>
                <w:sz w:val="18"/>
              </w:rPr>
              <w:t>상법 §57② 연대보증·최고검색 반박만 확보(4점대). 도일기 보험금=고유재산(상속포기 유효), 배우자 단독상속 §1043, 한정승인 책임한정 — 전무. 가족법 미학습</w:t>
            </w:r>
          </w:p>
        </w:tc>
      </w:tr>
    </w:tbl>
    <w:p>
      <w:pPr>
        <w:spacing w:after="40"/>
      </w:pPr>
    </w:p>
    <w:p>
      <w:pPr>
        <w:spacing w:before="240" w:after="80"/>
        <w:pBdr>
          <w:bottom w:val="single" w:sz="6" w:space="2" w:color="1F3864"/>
        </w:pBdr>
      </w:pPr>
      <w:r>
        <w:rPr>
          <w:rFonts w:ascii="맑은 고딕" w:hAnsi="맑은 고딕" w:eastAsia="맑은 고딕" w:cs="맑은 고딕"/>
          <w:b/>
          <w:color w:val="1F3864"/>
          <w:sz w:val="27"/>
        </w:rPr>
        <w:t>【3-B】 청구원인 누락 요소 검토 (배점표 논점 대비)  ★신규 항목★</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49"/>
        <w:gridCol w:w="3249"/>
        <w:gridCol w:w="3249"/>
      </w:tblGrid>
      <w:tr>
        <w:tc>
          <w:tcPr>
            <w:tcW w:type="dxa" w:w="3000"/>
            <w:shd w:val="clear" w:fill="1F3864"/>
          </w:tcPr>
          <w:p>
            <w:pPr>
              <w:spacing w:before="20" w:after="20"/>
            </w:pPr>
            <w:r/>
            <w:r>
              <w:rPr>
                <w:rFonts w:ascii="맑은 고딕" w:hAnsi="맑은 고딕" w:eastAsia="맑은 고딕" w:cs="맑은 고딕"/>
                <w:b/>
                <w:color w:val="FFFFFF"/>
                <w:sz w:val="19"/>
              </w:rPr>
              <w:t>배점표 논점</w:t>
            </w:r>
          </w:p>
        </w:tc>
        <w:tc>
          <w:tcPr>
            <w:tcW w:type="dxa" w:w="1700"/>
            <w:shd w:val="clear" w:fill="1F3864"/>
          </w:tcPr>
          <w:p>
            <w:pPr>
              <w:spacing w:before="20" w:after="20"/>
            </w:pPr>
            <w:r/>
            <w:r>
              <w:rPr>
                <w:rFonts w:ascii="맑은 고딕" w:hAnsi="맑은 고딕" w:eastAsia="맑은 고딕" w:cs="맑은 고딕"/>
                <w:b/>
                <w:color w:val="FFFFFF"/>
                <w:sz w:val="19"/>
              </w:rPr>
              <w:t>세직 답안</w:t>
            </w:r>
          </w:p>
        </w:tc>
        <w:tc>
          <w:tcPr>
            <w:tcW w:type="dxa" w:w="5000"/>
            <w:shd w:val="clear" w:fill="1F3864"/>
          </w:tcPr>
          <w:p>
            <w:pPr>
              <w:spacing w:before="20" w:after="20"/>
            </w:pPr>
            <w:r/>
            <w:r>
              <w:rPr>
                <w:rFonts w:ascii="맑은 고딕" w:hAnsi="맑은 고딕" w:eastAsia="맑은 고딕" w:cs="맑은 고딕"/>
                <w:b/>
                <w:color w:val="FFFFFF"/>
                <w:sz w:val="19"/>
              </w:rPr>
              <w:t>왜 필요한가/정답</w:t>
            </w:r>
          </w:p>
        </w:tc>
      </w:tr>
      <w:tr>
        <w:tc>
          <w:tcPr>
            <w:tcW w:type="dxa" w:w="3000"/>
          </w:tcPr>
          <w:p>
            <w:pPr>
              <w:spacing w:before="20" w:after="20"/>
            </w:pPr>
            <w:r/>
            <w:r>
              <w:rPr>
                <w:rFonts w:ascii="맑은 고딕" w:hAnsi="맑은 고딕" w:eastAsia="맑은 고딕" w:cs="맑은 고딕"/>
                <w:b w:val="0"/>
                <w:sz w:val="18"/>
              </w:rPr>
              <w:t>연대보증: 상속포기 유효(도일기 사망보험금)</w:t>
            </w:r>
          </w:p>
        </w:tc>
        <w:tc>
          <w:tcPr>
            <w:tcW w:type="dxa" w:w="1700"/>
          </w:tcPr>
          <w:p>
            <w:pPr>
              <w:spacing w:before="20" w:after="20"/>
            </w:pPr>
            <w:r/>
            <w:r>
              <w:rPr>
                <w:rFonts w:ascii="맑은 고딕" w:hAnsi="맑은 고딕" w:eastAsia="맑은 고딕" w:cs="맑은 고딕"/>
                <w:b w:val="0"/>
                <w:color w:val="B00000"/>
                <w:sz w:val="18"/>
              </w:rPr>
              <w:t>❌ 누락</w:t>
            </w:r>
          </w:p>
        </w:tc>
        <w:tc>
          <w:tcPr>
            <w:tcW w:type="dxa" w:w="5000"/>
          </w:tcPr>
          <w:p>
            <w:pPr>
              <w:spacing w:before="20" w:after="20"/>
            </w:pPr>
            <w:r/>
            <w:r>
              <w:rPr>
                <w:rFonts w:ascii="맑은 고딕" w:hAnsi="맑은 고딕" w:eastAsia="맑은 고딕" w:cs="맑은 고딕"/>
                <w:b w:val="0"/>
                <w:sz w:val="18"/>
              </w:rPr>
              <w:t>사망보험금은 상속인 고유재산 → 심판 전 수령·처분해도 법정단순승인(§1026) 아님 → 상속포기 유효(대2003다29463)</w:t>
            </w:r>
          </w:p>
        </w:tc>
      </w:tr>
      <w:tr>
        <w:tc>
          <w:tcPr>
            <w:tcW w:type="dxa" w:w="3000"/>
            <w:shd w:val="clear" w:fill="F2F2F2"/>
          </w:tcPr>
          <w:p>
            <w:pPr>
              <w:spacing w:before="20" w:after="20"/>
            </w:pPr>
            <w:r/>
            <w:r>
              <w:rPr>
                <w:rFonts w:ascii="맑은 고딕" w:hAnsi="맑은 고딕" w:eastAsia="맑은 고딕" w:cs="맑은 고딕"/>
                <w:b w:val="0"/>
                <w:sz w:val="18"/>
              </w:rPr>
              <w:t>연대보증: 배우자 단독상속(§1043)</w:t>
            </w:r>
          </w:p>
        </w:tc>
        <w:tc>
          <w:tcPr>
            <w:tcW w:type="dxa" w:w="1700"/>
            <w:shd w:val="clear" w:fill="F2F2F2"/>
          </w:tcPr>
          <w:p>
            <w:pPr>
              <w:spacing w:before="20" w:after="20"/>
            </w:pPr>
            <w:r/>
            <w:r>
              <w:rPr>
                <w:rFonts w:ascii="맑은 고딕" w:hAnsi="맑은 고딕" w:eastAsia="맑은 고딕" w:cs="맑은 고딕"/>
                <w:b w:val="0"/>
                <w:color w:val="B00000"/>
                <w:sz w:val="18"/>
              </w:rPr>
              <w:t>❌ 정반대</w:t>
            </w:r>
          </w:p>
        </w:tc>
        <w:tc>
          <w:tcPr>
            <w:tcW w:type="dxa" w:w="5000"/>
            <w:shd w:val="clear" w:fill="F2F2F2"/>
          </w:tcPr>
          <w:p>
            <w:pPr>
              <w:spacing w:before="20" w:after="20"/>
            </w:pPr>
            <w:r/>
            <w:r>
              <w:rPr>
                <w:rFonts w:ascii="맑은 고딕" w:hAnsi="맑은 고딕" w:eastAsia="맑은 고딕" w:cs="맑은 고딕"/>
                <w:b w:val="0"/>
                <w:sz w:val="18"/>
              </w:rPr>
              <w:t>자녀 전원 포기 시 그 상속분은 배우자에 귀속, 배우자 단독상속. 직계존속 도철신과 공동상속 아님(대2020그42). 세직은 도철신 공동상속으로 오판</w:t>
            </w:r>
          </w:p>
        </w:tc>
      </w:tr>
      <w:tr>
        <w:tc>
          <w:tcPr>
            <w:tcW w:type="dxa" w:w="3000"/>
          </w:tcPr>
          <w:p>
            <w:pPr>
              <w:spacing w:before="20" w:after="20"/>
            </w:pPr>
            <w:r/>
            <w:r>
              <w:rPr>
                <w:rFonts w:ascii="맑은 고딕" w:hAnsi="맑은 고딕" w:eastAsia="맑은 고딕" w:cs="맑은 고딕"/>
                <w:b w:val="0"/>
                <w:sz w:val="18"/>
              </w:rPr>
              <w:t>연대보증: 한정승인 책임한정</w:t>
            </w:r>
          </w:p>
        </w:tc>
        <w:tc>
          <w:tcPr>
            <w:tcW w:type="dxa" w:w="1700"/>
          </w:tcPr>
          <w:p>
            <w:pPr>
              <w:spacing w:before="20" w:after="20"/>
            </w:pPr>
            <w:r/>
            <w:r>
              <w:rPr>
                <w:rFonts w:ascii="맑은 고딕" w:hAnsi="맑은 고딕" w:eastAsia="맑은 고딕" w:cs="맑은 고딕"/>
                <w:b w:val="0"/>
                <w:color w:val="B00000"/>
                <w:sz w:val="18"/>
              </w:rPr>
              <w:t>❌ 누락</w:t>
            </w:r>
          </w:p>
        </w:tc>
        <w:tc>
          <w:tcPr>
            <w:tcW w:type="dxa" w:w="5000"/>
          </w:tcPr>
          <w:p>
            <w:pPr>
              <w:spacing w:before="20" w:after="20"/>
            </w:pPr>
            <w:r/>
            <w:r>
              <w:rPr>
                <w:rFonts w:ascii="맑은 고딕" w:hAnsi="맑은 고딕" w:eastAsia="맑은 고딕" w:cs="맑은 고딕"/>
                <w:b w:val="0"/>
                <w:sz w:val="18"/>
              </w:rPr>
              <w:t>한정승인은 채무 자체가 아니라 책임범위 한정 → 「상속재산 범위 내에서」 이행판결(대2007다77781)</w:t>
            </w:r>
          </w:p>
        </w:tc>
      </w:tr>
      <w:tr>
        <w:tc>
          <w:tcPr>
            <w:tcW w:type="dxa" w:w="3000"/>
            <w:shd w:val="clear" w:fill="F2F2F2"/>
          </w:tcPr>
          <w:p>
            <w:pPr>
              <w:spacing w:before="20" w:after="20"/>
            </w:pPr>
            <w:r/>
            <w:r>
              <w:rPr>
                <w:rFonts w:ascii="맑은 고딕" w:hAnsi="맑은 고딕" w:eastAsia="맑은 고딕" w:cs="맑은 고딕"/>
                <w:b w:val="0"/>
                <w:sz w:val="18"/>
              </w:rPr>
              <w:t>주택인도: 불가분성→피담보채권 전액</w:t>
            </w:r>
          </w:p>
        </w:tc>
        <w:tc>
          <w:tcPr>
            <w:tcW w:type="dxa" w:w="1700"/>
            <w:shd w:val="clear" w:fill="F2F2F2"/>
          </w:tcPr>
          <w:p>
            <w:pPr>
              <w:spacing w:before="20" w:after="20"/>
            </w:pPr>
            <w:r/>
            <w:r>
              <w:rPr>
                <w:rFonts w:ascii="맑은 고딕" w:hAnsi="맑은 고딕" w:eastAsia="맑은 고딕" w:cs="맑은 고딕"/>
                <w:b w:val="0"/>
                <w:color w:val="B86A00"/>
                <w:sz w:val="18"/>
              </w:rPr>
              <w:t>⚠️ 반대</w:t>
            </w:r>
          </w:p>
        </w:tc>
        <w:tc>
          <w:tcPr>
            <w:tcW w:type="dxa" w:w="5000"/>
            <w:shd w:val="clear" w:fill="F2F2F2"/>
          </w:tcPr>
          <w:p>
            <w:pPr>
              <w:spacing w:before="20" w:after="20"/>
            </w:pPr>
            <w:r/>
            <w:r>
              <w:rPr>
                <w:rFonts w:ascii="맑은 고딕" w:hAnsi="맑은 고딕" w:eastAsia="맑은 고딕" w:cs="맑은 고딕"/>
                <w:b w:val="0"/>
                <w:sz w:val="18"/>
              </w:rPr>
              <w:t>일부 유치물 소멸해도 나머지가 공사잔금 전부 담보(안분 X, 대2005다16942). 세직은 안분 1억으로 축소</w:t>
            </w:r>
          </w:p>
        </w:tc>
      </w:tr>
      <w:tr>
        <w:tc>
          <w:tcPr>
            <w:tcW w:type="dxa" w:w="3000"/>
          </w:tcPr>
          <w:p>
            <w:pPr>
              <w:spacing w:before="20" w:after="20"/>
            </w:pPr>
            <w:r/>
            <w:r>
              <w:rPr>
                <w:rFonts w:ascii="맑은 고딕" w:hAnsi="맑은 고딕" w:eastAsia="맑은 고딕" w:cs="맑은 고딕"/>
                <w:b w:val="0"/>
                <w:sz w:val="18"/>
              </w:rPr>
              <w:t>(형식) 소송비용·가집행·사건명</w:t>
            </w:r>
          </w:p>
        </w:tc>
        <w:tc>
          <w:tcPr>
            <w:tcW w:type="dxa" w:w="1700"/>
          </w:tcPr>
          <w:p>
            <w:pPr>
              <w:spacing w:before="20" w:after="20"/>
            </w:pPr>
            <w:r/>
            <w:r>
              <w:rPr>
                <w:rFonts w:ascii="맑은 고딕" w:hAnsi="맑은 고딕" w:eastAsia="맑은 고딕" w:cs="맑은 고딕"/>
                <w:b w:val="0"/>
                <w:color w:val="B00000"/>
                <w:sz w:val="18"/>
              </w:rPr>
              <w:t>❌ 누락/오류</w:t>
            </w:r>
          </w:p>
        </w:tc>
        <w:tc>
          <w:tcPr>
            <w:tcW w:type="dxa" w:w="5000"/>
          </w:tcPr>
          <w:p>
            <w:pPr>
              <w:spacing w:before="20" w:after="20"/>
            </w:pPr>
            <w:r/>
            <w:r>
              <w:rPr>
                <w:rFonts w:ascii="맑은 고딕" w:hAnsi="맑은 고딕" w:eastAsia="맑은 고딕" w:cs="맑은 고딕"/>
                <w:b w:val="0"/>
                <w:sz w:val="18"/>
              </w:rPr>
              <w:t>완결 소장 필수 형식 + 배점 직접 항목</w:t>
            </w:r>
          </w:p>
        </w:tc>
      </w:tr>
    </w:tbl>
    <w:p>
      <w:pPr>
        <w:spacing w:after="40"/>
      </w:pPr>
    </w:p>
    <w:p>
      <w:pPr>
        <w:spacing w:before="240" w:after="80"/>
        <w:pBdr>
          <w:bottom w:val="single" w:sz="6" w:space="2" w:color="1F3864"/>
        </w:pBdr>
      </w:pPr>
      <w:r>
        <w:rPr>
          <w:rFonts w:ascii="맑은 고딕" w:hAnsi="맑은 고딕" w:eastAsia="맑은 고딕" w:cs="맑은 고딕"/>
          <w:b/>
          <w:color w:val="1F3864"/>
          <w:sz w:val="27"/>
        </w:rPr>
        <w:t>【5】 종합 평가</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36"/>
        <w:gridCol w:w="2436"/>
        <w:gridCol w:w="2436"/>
        <w:gridCol w:w="2436"/>
      </w:tblGrid>
      <w:tr>
        <w:tc>
          <w:tcPr>
            <w:tcW w:type="dxa" w:w="2600"/>
            <w:shd w:val="clear" w:fill="1F3864"/>
          </w:tcPr>
          <w:p>
            <w:pPr>
              <w:spacing w:before="20" w:after="20"/>
            </w:pPr>
            <w:r/>
            <w:r>
              <w:rPr>
                <w:rFonts w:ascii="맑은 고딕" w:hAnsi="맑은 고딕" w:eastAsia="맑은 고딕" w:cs="맑은 고딕"/>
                <w:b/>
                <w:color w:val="FFFFFF"/>
                <w:sz w:val="19"/>
              </w:rPr>
              <w:t>영역</w:t>
            </w:r>
          </w:p>
        </w:tc>
        <w:tc>
          <w:tcPr>
            <w:tcW w:type="dxa" w:w="900"/>
            <w:shd w:val="clear" w:fill="1F3864"/>
          </w:tcPr>
          <w:p>
            <w:pPr>
              <w:spacing w:before="20" w:after="20"/>
            </w:pPr>
            <w:r/>
            <w:r>
              <w:rPr>
                <w:rFonts w:ascii="맑은 고딕" w:hAnsi="맑은 고딕" w:eastAsia="맑은 고딕" w:cs="맑은 고딕"/>
                <w:b/>
                <w:color w:val="FFFFFF"/>
                <w:sz w:val="19"/>
              </w:rPr>
              <w:t>배점</w:t>
            </w:r>
          </w:p>
        </w:tc>
        <w:tc>
          <w:tcPr>
            <w:tcW w:type="dxa" w:w="1600"/>
            <w:shd w:val="clear" w:fill="1F3864"/>
          </w:tcPr>
          <w:p>
            <w:pPr>
              <w:spacing w:before="20" w:after="20"/>
            </w:pPr>
            <w:r/>
            <w:r>
              <w:rPr>
                <w:rFonts w:ascii="맑은 고딕" w:hAnsi="맑은 고딕" w:eastAsia="맑은 고딕" w:cs="맑은 고딕"/>
                <w:b/>
                <w:color w:val="FFFFFF"/>
                <w:sz w:val="19"/>
              </w:rPr>
              <w:t>추정 득점</w:t>
            </w:r>
          </w:p>
        </w:tc>
        <w:tc>
          <w:tcPr>
            <w:tcW w:type="dxa" w:w="4600"/>
            <w:shd w:val="clear" w:fill="1F3864"/>
          </w:tcPr>
          <w:p>
            <w:pPr>
              <w:spacing w:before="20" w:after="20"/>
            </w:pPr>
            <w:r/>
            <w:r>
              <w:rPr>
                <w:rFonts w:ascii="맑은 고딕" w:hAnsi="맑은 고딕" w:eastAsia="맑은 고딕" w:cs="맑은 고딕"/>
                <w:b/>
                <w:color w:val="FFFFFF"/>
                <w:sz w:val="19"/>
              </w:rPr>
              <w:t>비고</w:t>
            </w:r>
          </w:p>
        </w:tc>
      </w:tr>
      <w:tr>
        <w:tc>
          <w:tcPr>
            <w:tcW w:type="dxa" w:w="2600"/>
          </w:tcPr>
          <w:p>
            <w:pPr>
              <w:spacing w:before="20" w:after="20"/>
            </w:pPr>
            <w:r/>
            <w:r>
              <w:rPr>
                <w:rFonts w:ascii="맑은 고딕" w:hAnsi="맑은 고딕" w:eastAsia="맑은 고딕" w:cs="맑은 고딕"/>
                <w:b w:val="0"/>
                <w:sz w:val="18"/>
              </w:rPr>
              <w:t>당사자·사건명</w:t>
            </w:r>
          </w:p>
        </w:tc>
        <w:tc>
          <w:tcPr>
            <w:tcW w:type="dxa" w:w="900"/>
          </w:tcPr>
          <w:p>
            <w:pPr>
              <w:spacing w:before="20" w:after="20"/>
            </w:pPr>
            <w:r/>
            <w:r>
              <w:rPr>
                <w:rFonts w:ascii="맑은 고딕" w:hAnsi="맑은 고딕" w:eastAsia="맑은 고딕" w:cs="맑은 고딕"/>
                <w:b w:val="0"/>
                <w:sz w:val="18"/>
              </w:rPr>
              <w:t>8</w:t>
            </w:r>
          </w:p>
        </w:tc>
        <w:tc>
          <w:tcPr>
            <w:tcW w:type="dxa" w:w="1600"/>
          </w:tcPr>
          <w:p>
            <w:pPr>
              <w:spacing w:before="20" w:after="20"/>
            </w:pPr>
            <w:r/>
            <w:r>
              <w:rPr>
                <w:rFonts w:ascii="맑은 고딕" w:hAnsi="맑은 고딕" w:eastAsia="맑은 고딕" w:cs="맑은 고딕"/>
                <w:b w:val="0"/>
                <w:sz w:val="18"/>
              </w:rPr>
              <w:t>5</w:t>
            </w:r>
          </w:p>
        </w:tc>
        <w:tc>
          <w:tcPr>
            <w:tcW w:type="dxa" w:w="4600"/>
          </w:tcPr>
          <w:p>
            <w:pPr>
              <w:spacing w:before="20" w:after="20"/>
            </w:pPr>
            <w:r/>
            <w:r>
              <w:rPr>
                <w:rFonts w:ascii="맑은 고딕" w:hAnsi="맑은 고딕" w:eastAsia="맑은 고딕" w:cs="맑은 고딕"/>
                <w:b w:val="0"/>
                <w:sz w:val="18"/>
              </w:rPr>
              <w:t>제5피고·사건명 오류</w:t>
            </w:r>
          </w:p>
        </w:tc>
      </w:tr>
      <w:tr>
        <w:tc>
          <w:tcPr>
            <w:tcW w:type="dxa" w:w="2600"/>
            <w:shd w:val="clear" w:fill="F2F2F2"/>
          </w:tcPr>
          <w:p>
            <w:pPr>
              <w:spacing w:before="20" w:after="20"/>
            </w:pPr>
            <w:r/>
            <w:r>
              <w:rPr>
                <w:rFonts w:ascii="맑은 고딕" w:hAnsi="맑은 고딕" w:eastAsia="맑은 고딕" w:cs="맑은 고딕"/>
                <w:b w:val="0"/>
                <w:sz w:val="18"/>
              </w:rPr>
              <w:t>청구취지</w:t>
            </w:r>
          </w:p>
        </w:tc>
        <w:tc>
          <w:tcPr>
            <w:tcW w:type="dxa" w:w="900"/>
            <w:shd w:val="clear" w:fill="F2F2F2"/>
          </w:tcPr>
          <w:p>
            <w:pPr>
              <w:spacing w:before="20" w:after="20"/>
            </w:pPr>
            <w:r/>
            <w:r>
              <w:rPr>
                <w:rFonts w:ascii="맑은 고딕" w:hAnsi="맑은 고딕" w:eastAsia="맑은 고딕" w:cs="맑은 고딕"/>
                <w:b w:val="0"/>
                <w:sz w:val="18"/>
              </w:rPr>
              <w:t>59</w:t>
            </w:r>
          </w:p>
        </w:tc>
        <w:tc>
          <w:tcPr>
            <w:tcW w:type="dxa" w:w="1600"/>
            <w:shd w:val="clear" w:fill="F2F2F2"/>
          </w:tcPr>
          <w:p>
            <w:pPr>
              <w:spacing w:before="20" w:after="20"/>
            </w:pPr>
            <w:r/>
            <w:r>
              <w:rPr>
                <w:rFonts w:ascii="맑은 고딕" w:hAnsi="맑은 고딕" w:eastAsia="맑은 고딕" w:cs="맑은 고딕"/>
                <w:b w:val="0"/>
                <w:sz w:val="18"/>
              </w:rPr>
              <w:t>약 16</w:t>
            </w:r>
          </w:p>
        </w:tc>
        <w:tc>
          <w:tcPr>
            <w:tcW w:type="dxa" w:w="4600"/>
            <w:shd w:val="clear" w:fill="F2F2F2"/>
          </w:tcPr>
          <w:p>
            <w:pPr>
              <w:spacing w:before="20" w:after="20"/>
            </w:pPr>
            <w:r/>
            <w:r>
              <w:rPr>
                <w:rFonts w:ascii="맑은 고딕" w:hAnsi="맑은 고딕" w:eastAsia="맑은 고딕" w:cs="맑은 고딕"/>
                <w:b w:val="0"/>
                <w:sz w:val="18"/>
              </w:rPr>
              <w:t>금액·완성도·접수번호·당사자·소송비용/가집행 다수 실점</w:t>
            </w:r>
          </w:p>
        </w:tc>
      </w:tr>
      <w:tr>
        <w:tc>
          <w:tcPr>
            <w:tcW w:type="dxa" w:w="2600"/>
          </w:tcPr>
          <w:p>
            <w:pPr>
              <w:spacing w:before="20" w:after="20"/>
            </w:pPr>
            <w:r/>
            <w:r>
              <w:rPr>
                <w:rFonts w:ascii="맑은 고딕" w:hAnsi="맑은 고딕" w:eastAsia="맑은 고딕" w:cs="맑은 고딕"/>
                <w:b w:val="0"/>
                <w:sz w:val="18"/>
              </w:rPr>
              <w:t>청구원인</w:t>
            </w:r>
          </w:p>
        </w:tc>
        <w:tc>
          <w:tcPr>
            <w:tcW w:type="dxa" w:w="900"/>
          </w:tcPr>
          <w:p>
            <w:pPr>
              <w:spacing w:before="20" w:after="20"/>
            </w:pPr>
            <w:r/>
            <w:r>
              <w:rPr>
                <w:rFonts w:ascii="맑은 고딕" w:hAnsi="맑은 고딕" w:eastAsia="맑은 고딕" w:cs="맑은 고딕"/>
                <w:b w:val="0"/>
                <w:sz w:val="18"/>
              </w:rPr>
              <w:t>99</w:t>
            </w:r>
          </w:p>
        </w:tc>
        <w:tc>
          <w:tcPr>
            <w:tcW w:type="dxa" w:w="1600"/>
          </w:tcPr>
          <w:p>
            <w:pPr>
              <w:spacing w:before="20" w:after="20"/>
            </w:pPr>
            <w:r/>
            <w:r>
              <w:rPr>
                <w:rFonts w:ascii="맑은 고딕" w:hAnsi="맑은 고딕" w:eastAsia="맑은 고딕" w:cs="맑은 고딕"/>
                <w:b w:val="0"/>
                <w:sz w:val="18"/>
              </w:rPr>
              <w:t>약 67</w:t>
            </w:r>
          </w:p>
        </w:tc>
        <w:tc>
          <w:tcPr>
            <w:tcW w:type="dxa" w:w="4600"/>
          </w:tcPr>
          <w:p>
            <w:pPr>
              <w:spacing w:before="20" w:after="20"/>
            </w:pPr>
            <w:r/>
            <w:r>
              <w:rPr>
                <w:rFonts w:ascii="맑은 고딕" w:hAnsi="맑은 고딕" w:eastAsia="맑은 고딕" w:cs="맑은 고딕"/>
                <w:b w:val="0"/>
                <w:sz w:val="18"/>
              </w:rPr>
              <w:t>시효중단·대위·사해행위·주택인도 양호 / 주택인도 불가분성 방향오류·연대보증 미학습</w:t>
            </w:r>
          </w:p>
        </w:tc>
      </w:tr>
      <w:tr>
        <w:tc>
          <w:tcPr>
            <w:tcW w:type="dxa" w:w="2600"/>
            <w:shd w:val="clear" w:fill="F2F2F2"/>
          </w:tcPr>
          <w:p>
            <w:pPr>
              <w:spacing w:before="20" w:after="20"/>
            </w:pPr>
            <w:r/>
            <w:r>
              <w:rPr>
                <w:rFonts w:ascii="맑은 고딕" w:hAnsi="맑은 고딕" w:eastAsia="맑은 고딕" w:cs="맑은 고딕"/>
                <w:b w:val="0"/>
                <w:sz w:val="18"/>
              </w:rPr>
              <w:t>결론·관할·작성일·대리인</w:t>
            </w:r>
          </w:p>
        </w:tc>
        <w:tc>
          <w:tcPr>
            <w:tcW w:type="dxa" w:w="900"/>
            <w:shd w:val="clear" w:fill="F2F2F2"/>
          </w:tcPr>
          <w:p>
            <w:pPr>
              <w:spacing w:before="20" w:after="20"/>
            </w:pPr>
            <w:r/>
            <w:r>
              <w:rPr>
                <w:rFonts w:ascii="맑은 고딕" w:hAnsi="맑은 고딕" w:eastAsia="맑은 고딕" w:cs="맑은 고딕"/>
                <w:b w:val="0"/>
                <w:sz w:val="18"/>
              </w:rPr>
              <w:t>5</w:t>
            </w:r>
          </w:p>
        </w:tc>
        <w:tc>
          <w:tcPr>
            <w:tcW w:type="dxa" w:w="1600"/>
            <w:shd w:val="clear" w:fill="F2F2F2"/>
          </w:tcPr>
          <w:p>
            <w:pPr>
              <w:spacing w:before="20" w:after="20"/>
            </w:pPr>
            <w:r/>
            <w:r>
              <w:rPr>
                <w:rFonts w:ascii="맑은 고딕" w:hAnsi="맑은 고딕" w:eastAsia="맑은 고딕" w:cs="맑은 고딕"/>
                <w:b w:val="0"/>
                <w:sz w:val="18"/>
              </w:rPr>
              <w:t>5</w:t>
            </w:r>
          </w:p>
        </w:tc>
        <w:tc>
          <w:tcPr>
            <w:tcW w:type="dxa" w:w="4600"/>
            <w:shd w:val="clear" w:fill="F2F2F2"/>
          </w:tcPr>
          <w:p>
            <w:pPr>
              <w:spacing w:before="20" w:after="20"/>
            </w:pPr>
            <w:r/>
            <w:r>
              <w:rPr>
                <w:rFonts w:ascii="맑은 고딕" w:hAnsi="맑은 고딕" w:eastAsia="맑은 고딕" w:cs="맑은 고딕"/>
                <w:b w:val="0"/>
                <w:sz w:val="18"/>
              </w:rPr>
              <w:t>춘천 관할 정답</w:t>
            </w:r>
          </w:p>
        </w:tc>
      </w:tr>
      <w:tr>
        <w:tc>
          <w:tcPr>
            <w:tcW w:type="dxa" w:w="2600"/>
          </w:tcPr>
          <w:p>
            <w:pPr>
              <w:spacing w:before="20" w:after="20"/>
            </w:pPr>
            <w:r/>
            <w:r>
              <w:rPr>
                <w:rFonts w:ascii="맑은 고딕" w:hAnsi="맑은 고딕" w:eastAsia="맑은 고딕" w:cs="맑은 고딕"/>
                <w:b w:val="0"/>
                <w:sz w:val="18"/>
              </w:rPr>
              <w:t>전체 체계·논리</w:t>
            </w:r>
          </w:p>
        </w:tc>
        <w:tc>
          <w:tcPr>
            <w:tcW w:type="dxa" w:w="900"/>
          </w:tcPr>
          <w:p>
            <w:pPr>
              <w:spacing w:before="20" w:after="20"/>
            </w:pPr>
            <w:r/>
            <w:r>
              <w:rPr>
                <w:rFonts w:ascii="맑은 고딕" w:hAnsi="맑은 고딕" w:eastAsia="맑은 고딕" w:cs="맑은 고딕"/>
                <w:b w:val="0"/>
                <w:sz w:val="18"/>
              </w:rPr>
              <w:t>5</w:t>
            </w:r>
          </w:p>
        </w:tc>
        <w:tc>
          <w:tcPr>
            <w:tcW w:type="dxa" w:w="1600"/>
          </w:tcPr>
          <w:p>
            <w:pPr>
              <w:spacing w:before="20" w:after="20"/>
            </w:pPr>
            <w:r/>
            <w:r>
              <w:rPr>
                <w:rFonts w:ascii="맑은 고딕" w:hAnsi="맑은 고딕" w:eastAsia="맑은 고딕" w:cs="맑은 고딕"/>
                <w:b w:val="0"/>
                <w:sz w:val="18"/>
              </w:rPr>
              <w:t>약 3</w:t>
            </w:r>
          </w:p>
        </w:tc>
        <w:tc>
          <w:tcPr>
            <w:tcW w:type="dxa" w:w="4600"/>
          </w:tcPr>
          <w:p>
            <w:pPr>
              <w:spacing w:before="20" w:after="20"/>
            </w:pPr>
            <w:r/>
            <w:r>
              <w:rPr>
                <w:rFonts w:ascii="맑은 고딕" w:hAnsi="맑은 고딕" w:eastAsia="맑은 고딕" w:cs="맑은 고딕"/>
                <w:b w:val="0"/>
                <w:sz w:val="18"/>
              </w:rPr>
              <w:t>도희준 미완성·형식 누락으로 완성도 감점</w:t>
            </w:r>
          </w:p>
        </w:tc>
      </w:tr>
      <w:tr>
        <w:tc>
          <w:tcPr>
            <w:tcW w:type="dxa" w:w="2600"/>
            <w:shd w:val="clear" w:fill="F2F2F2"/>
          </w:tcPr>
          <w:p>
            <w:pPr>
              <w:spacing w:before="20" w:after="20"/>
            </w:pPr>
            <w:r/>
            <w:r>
              <w:rPr>
                <w:rFonts w:ascii="맑은 고딕" w:hAnsi="맑은 고딕" w:eastAsia="맑은 고딕" w:cs="맑은 고딕"/>
                <w:b w:val="0"/>
                <w:sz w:val="18"/>
              </w:rPr>
              <w:t>합계</w:t>
            </w:r>
          </w:p>
        </w:tc>
        <w:tc>
          <w:tcPr>
            <w:tcW w:type="dxa" w:w="900"/>
            <w:shd w:val="clear" w:fill="F2F2F2"/>
          </w:tcPr>
          <w:p>
            <w:pPr>
              <w:spacing w:before="20" w:after="20"/>
            </w:pPr>
            <w:r/>
            <w:r>
              <w:rPr>
                <w:rFonts w:ascii="맑은 고딕" w:hAnsi="맑은 고딕" w:eastAsia="맑은 고딕" w:cs="맑은 고딕"/>
                <w:b w:val="0"/>
                <w:sz w:val="18"/>
              </w:rPr>
              <w:t>175</w:t>
            </w:r>
          </w:p>
        </w:tc>
        <w:tc>
          <w:tcPr>
            <w:tcW w:type="dxa" w:w="1600"/>
            <w:shd w:val="clear" w:fill="F2F2F2"/>
          </w:tcPr>
          <w:p>
            <w:pPr>
              <w:spacing w:before="20" w:after="20"/>
            </w:pPr>
            <w:r/>
            <w:r>
              <w:rPr>
                <w:rFonts w:ascii="맑은 고딕" w:hAnsi="맑은 고딕" w:eastAsia="맑은 고딕" w:cs="맑은 고딕"/>
                <w:b w:val="0"/>
                <w:sz w:val="18"/>
              </w:rPr>
              <w:t>(정정 추정) 약 96점 (약 55%)</w:t>
            </w:r>
          </w:p>
        </w:tc>
        <w:tc>
          <w:tcPr>
            <w:tcW w:type="dxa" w:w="4600"/>
            <w:shd w:val="clear" w:fill="F2F2F2"/>
          </w:tcPr>
          <w:p>
            <w:pPr>
              <w:spacing w:before="20" w:after="20"/>
            </w:pPr>
            <w:r/>
            <w:r>
              <w:rPr>
                <w:rFonts w:ascii="맑은 고딕" w:hAnsi="맑은 고딕" w:eastAsia="맑은 고딕" w:cs="맑은 고딕"/>
                <w:b w:val="0"/>
                <w:sz w:val="18"/>
              </w:rPr>
              <w:t>가족법 미학습분(연대보증 약 16점) 제외 시 실질은 더 높음</w:t>
            </w:r>
          </w:p>
        </w:tc>
      </w:tr>
    </w:tbl>
    <w:p>
      <w:pPr>
        <w:spacing w:after="40"/>
      </w:pP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3"/>
        <w:gridCol w:w="4873"/>
      </w:tblGrid>
      <w:tr>
        <w:tc>
          <w:tcPr>
            <w:tcW w:type="dxa" w:w="2000"/>
            <w:shd w:val="clear" w:fill="1F3864"/>
          </w:tcPr>
          <w:p>
            <w:pPr>
              <w:spacing w:before="20" w:after="20"/>
            </w:pPr>
            <w:r/>
            <w:r>
              <w:rPr>
                <w:rFonts w:ascii="맑은 고딕" w:hAnsi="맑은 고딕" w:eastAsia="맑은 고딕" w:cs="맑은 고딕"/>
                <w:b/>
                <w:color w:val="FFFFFF"/>
                <w:sz w:val="19"/>
              </w:rPr>
              <w:t>항목</w:t>
            </w:r>
          </w:p>
        </w:tc>
        <w:tc>
          <w:tcPr>
            <w:tcW w:type="dxa" w:w="7700"/>
            <w:shd w:val="clear" w:fill="1F3864"/>
          </w:tcPr>
          <w:p>
            <w:pPr>
              <w:spacing w:before="20" w:after="20"/>
            </w:pPr>
            <w:r/>
            <w:r>
              <w:rPr>
                <w:rFonts w:ascii="맑은 고딕" w:hAnsi="맑은 고딕" w:eastAsia="맑은 고딕" w:cs="맑은 고딕"/>
                <w:b/>
                <w:color w:val="FFFFFF"/>
                <w:sz w:val="19"/>
              </w:rPr>
              <w:t>내용</w:t>
            </w:r>
          </w:p>
        </w:tc>
      </w:tr>
      <w:tr>
        <w:tc>
          <w:tcPr>
            <w:tcW w:type="dxa" w:w="2000"/>
          </w:tcPr>
          <w:p>
            <w:pPr>
              <w:spacing w:before="20" w:after="20"/>
            </w:pPr>
            <w:r/>
            <w:r>
              <w:rPr>
                <w:rFonts w:ascii="맑은 고딕" w:hAnsi="맑은 고딕" w:eastAsia="맑은 고딕" w:cs="맑은 고딕"/>
                <w:b w:val="0"/>
                <w:sz w:val="18"/>
              </w:rPr>
              <w:t>평가 등급</w:t>
            </w:r>
          </w:p>
        </w:tc>
        <w:tc>
          <w:tcPr>
            <w:tcW w:type="dxa" w:w="7700"/>
          </w:tcPr>
          <w:p>
            <w:pPr>
              <w:spacing w:before="20" w:after="20"/>
            </w:pPr>
            <w:r/>
            <w:r>
              <w:rPr>
                <w:rFonts w:ascii="맑은 고딕" w:hAnsi="맑은 고딕" w:eastAsia="맑은 고딕" w:cs="맑은 고딕"/>
                <w:b w:val="0"/>
                <w:sz w:val="18"/>
              </w:rPr>
              <w:t>B (합격권 경계)</w:t>
            </w:r>
          </w:p>
        </w:tc>
      </w:tr>
      <w:tr>
        <w:tc>
          <w:tcPr>
            <w:tcW w:type="dxa" w:w="2000"/>
            <w:shd w:val="clear" w:fill="F2F2F2"/>
          </w:tcPr>
          <w:p>
            <w:pPr>
              <w:spacing w:before="20" w:after="20"/>
            </w:pPr>
            <w:r/>
            <w:r>
              <w:rPr>
                <w:rFonts w:ascii="맑은 고딕" w:hAnsi="맑은 고딕" w:eastAsia="맑은 고딕" w:cs="맑은 고딕"/>
                <w:b w:val="0"/>
                <w:sz w:val="18"/>
              </w:rPr>
              <w:t>총평</w:t>
            </w:r>
          </w:p>
        </w:tc>
        <w:tc>
          <w:tcPr>
            <w:tcW w:type="dxa" w:w="7700"/>
            <w:shd w:val="clear" w:fill="F2F2F2"/>
          </w:tcPr>
          <w:p>
            <w:pPr>
              <w:spacing w:before="20" w:after="20"/>
            </w:pPr>
            <w:r/>
            <w:r>
              <w:rPr>
                <w:rFonts w:ascii="맑은 고딕" w:hAnsi="맑은 고딕" w:eastAsia="맑은 고딕" w:cs="맑은 고딕"/>
                <w:b w:val="0"/>
                <w:sz w:val="18"/>
              </w:rPr>
              <w:t>청구원인의 고난도 논점(시효중단 확인·제척기간 대위말소·사해행위 취소·유치권)은 대부분 정확히 처리해 실체 실력은 안정적. 그러나 청구취지에서 금액·접수번호·완성도·당사자 오류와 소송비용·가집행 누락으로 대량 실점했고, 연대보증(상속)은 가족법 미학습으로 비었다. 형식 마무리와 금액 검토, 가족법 학습이 다음 과제.</w:t>
            </w:r>
          </w:p>
        </w:tc>
      </w:tr>
    </w:tbl>
    <w:p>
      <w:pPr>
        <w:spacing w:after="40"/>
      </w:pPr>
    </w:p>
    <w:p>
      <w:pPr>
        <w:spacing w:before="240" w:after="80"/>
        <w:pBdr>
          <w:bottom w:val="single" w:sz="6" w:space="2" w:color="1F3864"/>
        </w:pBdr>
      </w:pPr>
      <w:r>
        <w:rPr>
          <w:rFonts w:ascii="맑은 고딕" w:hAnsi="맑은 고딕" w:eastAsia="맑은 고딕" w:cs="맑은 고딕"/>
          <w:b/>
          <w:color w:val="1F3864"/>
          <w:sz w:val="27"/>
        </w:rPr>
        <w:t>【6】 핵심 수정 사항 TOP 3</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49"/>
        <w:gridCol w:w="3249"/>
        <w:gridCol w:w="3249"/>
      </w:tblGrid>
      <w:tr>
        <w:tc>
          <w:tcPr>
            <w:tcW w:type="dxa" w:w="1100"/>
            <w:shd w:val="clear" w:fill="1F3864"/>
          </w:tcPr>
          <w:p>
            <w:pPr>
              <w:spacing w:before="20" w:after="20"/>
            </w:pPr>
            <w:r/>
            <w:r>
              <w:rPr>
                <w:rFonts w:ascii="맑은 고딕" w:hAnsi="맑은 고딕" w:eastAsia="맑은 고딕" w:cs="맑은 고딕"/>
                <w:b/>
                <w:color w:val="FFFFFF"/>
                <w:sz w:val="19"/>
              </w:rPr>
              <w:t>순위</w:t>
            </w:r>
          </w:p>
        </w:tc>
        <w:tc>
          <w:tcPr>
            <w:tcW w:type="dxa" w:w="1000"/>
            <w:shd w:val="clear" w:fill="1F3864"/>
          </w:tcPr>
          <w:p>
            <w:pPr>
              <w:spacing w:before="20" w:after="20"/>
            </w:pPr>
            <w:r/>
            <w:r>
              <w:rPr>
                <w:rFonts w:ascii="맑은 고딕" w:hAnsi="맑은 고딕" w:eastAsia="맑은 고딕" w:cs="맑은 고딕"/>
                <w:b/>
                <w:color w:val="FFFFFF"/>
                <w:sz w:val="19"/>
              </w:rPr>
              <w:t>구분</w:t>
            </w:r>
          </w:p>
        </w:tc>
        <w:tc>
          <w:tcPr>
            <w:tcW w:type="dxa" w:w="7600"/>
            <w:shd w:val="clear" w:fill="1F3864"/>
          </w:tcPr>
          <w:p>
            <w:pPr>
              <w:spacing w:before="20" w:after="20"/>
            </w:pPr>
            <w:r/>
            <w:r>
              <w:rPr>
                <w:rFonts w:ascii="맑은 고딕" w:hAnsi="맑은 고딕" w:eastAsia="맑은 고딕" w:cs="맑은 고딕"/>
                <w:b/>
                <w:color w:val="FFFFFF"/>
                <w:sz w:val="19"/>
              </w:rPr>
              <w:t>내용</w:t>
            </w:r>
          </w:p>
        </w:tc>
      </w:tr>
      <w:tr>
        <w:tc>
          <w:tcPr>
            <w:tcW w:type="dxa" w:w="1100"/>
          </w:tcPr>
          <w:p>
            <w:pPr>
              <w:spacing w:before="20" w:after="20"/>
            </w:pPr>
            <w:r/>
            <w:r>
              <w:rPr>
                <w:rFonts w:ascii="맑은 고딕" w:hAnsi="맑은 고딕" w:eastAsia="맑은 고딕" w:cs="맑은 고딕"/>
                <w:b w:val="0"/>
                <w:sz w:val="18"/>
              </w:rPr>
              <w:t>1순위</w:t>
            </w:r>
          </w:p>
        </w:tc>
        <w:tc>
          <w:tcPr>
            <w:tcW w:type="dxa" w:w="1000"/>
          </w:tcPr>
          <w:p>
            <w:pPr>
              <w:spacing w:before="20" w:after="20"/>
            </w:pPr>
            <w:r/>
            <w:r>
              <w:rPr>
                <w:rFonts w:ascii="맑은 고딕" w:hAnsi="맑은 고딕" w:eastAsia="맑은 고딕" w:cs="맑은 고딕"/>
                <w:b w:val="0"/>
                <w:sz w:val="18"/>
              </w:rPr>
              <w:t>형식</w:t>
            </w:r>
          </w:p>
        </w:tc>
        <w:tc>
          <w:tcPr>
            <w:tcW w:type="dxa" w:w="7600"/>
          </w:tcPr>
          <w:p>
            <w:pPr>
              <w:spacing w:before="20" w:after="20"/>
            </w:pPr>
            <w:r/>
            <w:r>
              <w:rPr>
                <w:rFonts w:ascii="맑은 고딕" w:hAnsi="맑은 고딕" w:eastAsia="맑은 고딕" w:cs="맑은 고딕"/>
                <w:b w:val="0"/>
                <w:sz w:val="18"/>
              </w:rPr>
              <w:t>사건명(대여금 등)·제5피고(민화정)·소송비용·가집행·도희준 청구취지 완성 — 배점 직결 기본 누락 일괄 교정</w:t>
            </w:r>
          </w:p>
        </w:tc>
      </w:tr>
      <w:tr>
        <w:tc>
          <w:tcPr>
            <w:tcW w:type="dxa" w:w="1100"/>
            <w:shd w:val="clear" w:fill="F2F2F2"/>
          </w:tcPr>
          <w:p>
            <w:pPr>
              <w:spacing w:before="20" w:after="20"/>
            </w:pPr>
            <w:r/>
            <w:r>
              <w:rPr>
                <w:rFonts w:ascii="맑은 고딕" w:hAnsi="맑은 고딕" w:eastAsia="맑은 고딕" w:cs="맑은 고딕"/>
                <w:b w:val="0"/>
                <w:sz w:val="18"/>
              </w:rPr>
              <w:t>2순위</w:t>
            </w:r>
          </w:p>
        </w:tc>
        <w:tc>
          <w:tcPr>
            <w:tcW w:type="dxa" w:w="1000"/>
            <w:shd w:val="clear" w:fill="F2F2F2"/>
          </w:tcPr>
          <w:p>
            <w:pPr>
              <w:spacing w:before="20" w:after="20"/>
            </w:pPr>
            <w:r/>
            <w:r>
              <w:rPr>
                <w:rFonts w:ascii="맑은 고딕" w:hAnsi="맑은 고딕" w:eastAsia="맑은 고딕" w:cs="맑은 고딕"/>
                <w:b w:val="0"/>
                <w:sz w:val="18"/>
              </w:rPr>
              <w:t>실체</w:t>
            </w:r>
          </w:p>
        </w:tc>
        <w:tc>
          <w:tcPr>
            <w:tcW w:type="dxa" w:w="7600"/>
            <w:shd w:val="clear" w:fill="F2F2F2"/>
          </w:tcPr>
          <w:p>
            <w:pPr>
              <w:spacing w:before="20" w:after="20"/>
            </w:pPr>
            <w:r/>
            <w:r>
              <w:rPr>
                <w:rFonts w:ascii="맑은 고딕" w:hAnsi="맑은 고딕" w:eastAsia="맑은 고딕" w:cs="맑은 고딕"/>
                <w:b w:val="0"/>
                <w:sz w:val="18"/>
              </w:rPr>
              <w:t>유치권 불가분성 = 나머지 유치물이 공사잔금 전액 담보(안분 X). 주택인도 상환이행액 2억</w:t>
            </w:r>
          </w:p>
        </w:tc>
      </w:tr>
      <w:tr>
        <w:tc>
          <w:tcPr>
            <w:tcW w:type="dxa" w:w="1100"/>
          </w:tcPr>
          <w:p>
            <w:pPr>
              <w:spacing w:before="20" w:after="20"/>
            </w:pPr>
            <w:r/>
            <w:r>
              <w:rPr>
                <w:rFonts w:ascii="맑은 고딕" w:hAnsi="맑은 고딕" w:eastAsia="맑은 고딕" w:cs="맑은 고딕"/>
                <w:b w:val="0"/>
                <w:sz w:val="18"/>
              </w:rPr>
              <w:t>3순위</w:t>
            </w:r>
          </w:p>
        </w:tc>
        <w:tc>
          <w:tcPr>
            <w:tcW w:type="dxa" w:w="1000"/>
          </w:tcPr>
          <w:p>
            <w:pPr>
              <w:spacing w:before="20" w:after="20"/>
            </w:pPr>
            <w:r/>
            <w:r>
              <w:rPr>
                <w:rFonts w:ascii="맑은 고딕" w:hAnsi="맑은 고딕" w:eastAsia="맑은 고딕" w:cs="맑은 고딕"/>
                <w:b w:val="0"/>
                <w:sz w:val="18"/>
              </w:rPr>
              <w:t>실체</w:t>
            </w:r>
          </w:p>
        </w:tc>
        <w:tc>
          <w:tcPr>
            <w:tcW w:type="dxa" w:w="7600"/>
          </w:tcPr>
          <w:p>
            <w:pPr>
              <w:spacing w:before="20" w:after="20"/>
            </w:pPr>
            <w:r/>
            <w:r>
              <w:rPr>
                <w:rFonts w:ascii="맑은 고딕" w:hAnsi="맑은 고딕" w:eastAsia="맑은 고딕" w:cs="맑은 고딕"/>
                <w:b w:val="0"/>
                <w:sz w:val="18"/>
              </w:rPr>
              <w:t>제척기간·소멸시효 도과(후발적 실효사유) 말소등기는 청구취지에 등기원인 기재. (연대보증 상속은 가족법 학습 후)</w:t>
            </w:r>
          </w:p>
        </w:tc>
      </w:tr>
    </w:tbl>
    <w:p>
      <w:pPr>
        <w:spacing w:after="40"/>
      </w:pPr>
    </w:p>
    <w:p>
      <w:pPr>
        <w:spacing w:before="240" w:after="80"/>
        <w:pBdr>
          <w:bottom w:val="single" w:sz="6" w:space="2" w:color="1F3864"/>
        </w:pBdr>
      </w:pPr>
      <w:r>
        <w:rPr>
          <w:rFonts w:ascii="맑은 고딕" w:hAnsi="맑은 고딕" w:eastAsia="맑은 고딕" w:cs="맑은 고딕"/>
          <w:b/>
          <w:color w:val="1F3864"/>
          <w:sz w:val="27"/>
        </w:rPr>
        <w:t>【7】 오류 원인 진단 + 첨삭 요약 (누적 저장용)</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746"/>
      </w:tblGrid>
      <w:tr>
        <w:tc>
          <w:tcPr>
            <w:tcW w:type="dxa" w:w="9746"/>
            <w:shd w:val="clear" w:fill="FBFBF0"/>
          </w:tcPr>
          <w:p>
            <w:pPr>
              <w:spacing w:before="0" w:after="20"/>
            </w:pPr>
            <w:r/>
            <w:r>
              <w:rPr>
                <w:rFonts w:ascii="맑은 고딕" w:hAnsi="맑은 고딕" w:eastAsia="맑은 고딕" w:cs="맑은 고딕"/>
                <w:b/>
                <w:color w:val="1F3864"/>
                <w:sz w:val="19"/>
              </w:rPr>
              <w:t>[기록형 첨삭 요약]</w:t>
            </w:r>
          </w:p>
          <w:p>
            <w:pPr>
              <w:spacing w:before="0" w:after="20"/>
            </w:pPr>
            <w:r>
              <w:rPr>
                <w:rFonts w:ascii="맑은 고딕" w:hAnsi="맑은 고딕" w:eastAsia="맑은 고딕" w:cs="맑은 고딕"/>
                <w:b w:val="0"/>
                <w:color w:val="222222"/>
                <w:sz w:val="19"/>
              </w:rPr>
              <w:t>일자: 2026. 7. 2. (모범답안 대조 정정본)</w:t>
            </w:r>
          </w:p>
          <w:p>
            <w:pPr>
              <w:spacing w:before="0" w:after="20"/>
            </w:pPr>
            <w:r>
              <w:rPr>
                <w:rFonts w:ascii="맑은 고딕" w:hAnsi="맑은 고딕" w:eastAsia="맑은 고딕" w:cs="맑은 고딕"/>
                <w:b w:val="0"/>
                <w:color w:val="222222"/>
                <w:sz w:val="19"/>
              </w:rPr>
              <w:t>문제: 대여금 등 청구의 소 (2026 제1차 변시 모의시험, 2026.6.25.)</w:t>
            </w:r>
          </w:p>
          <w:p>
            <w:pPr>
              <w:spacing w:before="0" w:after="20"/>
            </w:pPr>
            <w:r>
              <w:rPr>
                <w:rFonts w:ascii="맑은 고딕" w:hAnsi="맑은 고딕" w:eastAsia="맑은 고딕" w:cs="맑은 고딕"/>
                <w:b w:val="0"/>
                <w:color w:val="222222"/>
                <w:sz w:val="19"/>
              </w:rPr>
              <w:t>예상득점: (정정) 약 96/175점 (약 55%) — B등급(합격권 경계)</w:t>
            </w:r>
          </w:p>
          <w:p>
            <w:pPr>
              <w:spacing w:before="0" w:after="20"/>
            </w:pPr>
            <w:r>
              <w:rPr>
                <w:rFonts w:ascii="맑은 고딕" w:hAnsi="맑은 고딕" w:eastAsia="맑은 고딕" w:cs="맑은 고딕"/>
                <w:b w:val="0"/>
                <w:color w:val="222222"/>
                <w:sz w:val="19"/>
              </w:rPr>
            </w:r>
          </w:p>
          <w:p>
            <w:pPr>
              <w:spacing w:before="0" w:after="20"/>
            </w:pPr>
            <w:r>
              <w:rPr>
                <w:rFonts w:ascii="맑은 고딕" w:hAnsi="맑은 고딕" w:eastAsia="맑은 고딕" w:cs="맑은 고딕"/>
                <w:b/>
                <w:color w:val="1F3864"/>
                <w:sz w:val="19"/>
              </w:rPr>
              <w:t>▶ 형식 오류</w:t>
            </w:r>
          </w:p>
          <w:p>
            <w:pPr>
              <w:spacing w:before="0" w:after="20"/>
            </w:pPr>
            <w:r>
              <w:rPr>
                <w:rFonts w:ascii="맑은 고딕" w:hAnsi="맑은 고딕" w:eastAsia="맑은 고딕" w:cs="맑은 고딕"/>
                <w:b w:val="0"/>
                <w:color w:val="222222"/>
                <w:sz w:val="19"/>
              </w:rPr>
              <w:t>- 사건명 오류(사해행위 취소 등→대여금 등), 제5피고(도철신→민화정)</w:t>
            </w:r>
          </w:p>
          <w:p>
            <w:pPr>
              <w:spacing w:before="0" w:after="20"/>
            </w:pPr>
            <w:r>
              <w:rPr>
                <w:rFonts w:ascii="맑은 고딕" w:hAnsi="맑은 고딕" w:eastAsia="맑은 고딕" w:cs="맑은 고딕"/>
                <w:b w:val="0"/>
                <w:color w:val="222222"/>
                <w:sz w:val="19"/>
              </w:rPr>
              <w:t>- 소송비용·가집행 누락, 도희준 청구취지 미완성</w:t>
            </w:r>
          </w:p>
          <w:p>
            <w:pPr>
              <w:spacing w:before="0" w:after="20"/>
            </w:pPr>
            <w:r>
              <w:rPr>
                <w:rFonts w:ascii="맑은 고딕" w:hAnsi="맑은 고딕" w:eastAsia="맑은 고딕" w:cs="맑은 고딕"/>
                <w:b w:val="0"/>
                <w:color w:val="222222"/>
                <w:sz w:val="19"/>
              </w:rPr>
              <w:t>- 청구취지 금액 자릿수 오기(1억→1천만): 제1·4항</w:t>
            </w:r>
          </w:p>
          <w:p>
            <w:pPr>
              <w:spacing w:before="0" w:after="20"/>
            </w:pPr>
            <w:r>
              <w:rPr>
                <w:rFonts w:ascii="맑은 고딕" w:hAnsi="맑은 고딕" w:eastAsia="맑은 고딕" w:cs="맑은 고딕"/>
                <w:b w:val="0"/>
                <w:color w:val="222222"/>
                <w:sz w:val="19"/>
              </w:rPr>
              <w:t>- 가등기 접수번호 오기(제2가등기 8484→7373), 등기소 누락</w:t>
            </w:r>
          </w:p>
          <w:p>
            <w:pPr>
              <w:spacing w:before="0" w:after="20"/>
            </w:pPr>
            <w:r>
              <w:rPr>
                <w:rFonts w:ascii="맑은 고딕" w:hAnsi="맑은 고딕" w:eastAsia="맑은 고딕" w:cs="맑은 고딕"/>
                <w:b w:val="0"/>
                <w:color w:val="222222"/>
                <w:sz w:val="19"/>
              </w:rPr>
            </w:r>
          </w:p>
          <w:p>
            <w:pPr>
              <w:spacing w:before="0" w:after="20"/>
            </w:pPr>
            <w:r>
              <w:rPr>
                <w:rFonts w:ascii="맑은 고딕" w:hAnsi="맑은 고딕" w:eastAsia="맑은 고딕" w:cs="맑은 고딕"/>
                <w:b/>
                <w:color w:val="1F3864"/>
                <w:sz w:val="19"/>
              </w:rPr>
              <w:t>▶ 청구취지/실체 핵심 오류</w:t>
            </w:r>
          </w:p>
          <w:p>
            <w:pPr>
              <w:spacing w:before="0" w:after="20"/>
            </w:pPr>
            <w:r>
              <w:rPr>
                <w:rFonts w:ascii="맑은 고딕" w:hAnsi="맑은 고딕" w:eastAsia="맑은 고딕" w:cs="맑은 고딕"/>
                <w:b w:val="0"/>
                <w:color w:val="222222"/>
                <w:sz w:val="19"/>
              </w:rPr>
              <w:t>- 시효중단: 채권을 화해권고결정으로 특정해야(내용 특정 X)</w:t>
            </w:r>
          </w:p>
          <w:p>
            <w:pPr>
              <w:spacing w:before="0" w:after="20"/>
            </w:pPr>
            <w:r>
              <w:rPr>
                <w:rFonts w:ascii="맑은 고딕" w:hAnsi="맑은 고딕" w:eastAsia="맑은 고딕" w:cs="맑은 고딕"/>
                <w:b w:val="0"/>
                <w:color w:val="222222"/>
                <w:sz w:val="19"/>
              </w:rPr>
              <w:t>- 제척기간 도과 말소: 등기원인 기재 필요(후발적 실효사유 예외)</w:t>
            </w:r>
          </w:p>
          <w:p>
            <w:pPr>
              <w:spacing w:before="0" w:after="20"/>
            </w:pPr>
            <w:r>
              <w:rPr>
                <w:rFonts w:ascii="맑은 고딕" w:hAnsi="맑은 고딕" w:eastAsia="맑은 고딕" w:cs="맑은 고딕"/>
                <w:b w:val="0"/>
                <w:color w:val="222222"/>
                <w:sz w:val="19"/>
              </w:rPr>
              <w:t>- 주택인도: 유치권 불가분성→잔금 2억 전액 담보(세직 안분 1억 오류)</w:t>
            </w:r>
          </w:p>
          <w:p>
            <w:pPr>
              <w:spacing w:before="0" w:after="20"/>
            </w:pPr>
            <w:r>
              <w:rPr>
                <w:rFonts w:ascii="맑은 고딕" w:hAnsi="맑은 고딕" w:eastAsia="맑은 고딕" w:cs="맑은 고딕"/>
                <w:b w:val="0"/>
                <w:color w:val="222222"/>
                <w:sz w:val="19"/>
              </w:rPr>
              <w:t>- 연대보증: 배우자 단독상속(§1043)·보험금 고유재산·한정승인 — 미학습</w:t>
            </w:r>
          </w:p>
          <w:p>
            <w:pPr>
              <w:spacing w:before="0" w:after="20"/>
            </w:pPr>
            <w:r>
              <w:rPr>
                <w:rFonts w:ascii="맑은 고딕" w:hAnsi="맑은 고딕" w:eastAsia="맑은 고딕" w:cs="맑은 고딕"/>
                <w:b w:val="0"/>
                <w:color w:val="222222"/>
                <w:sz w:val="19"/>
              </w:rPr>
            </w:r>
          </w:p>
          <w:p>
            <w:pPr>
              <w:spacing w:before="0" w:after="20"/>
            </w:pPr>
            <w:r>
              <w:rPr>
                <w:rFonts w:ascii="맑은 고딕" w:hAnsi="맑은 고딕" w:eastAsia="맑은 고딕" w:cs="맑은 고딕"/>
                <w:b/>
                <w:color w:val="1F3864"/>
                <w:sz w:val="19"/>
              </w:rPr>
              <w:t>▶ 잘한 점(유지)</w:t>
            </w:r>
          </w:p>
          <w:p>
            <w:pPr>
              <w:spacing w:before="0" w:after="20"/>
            </w:pPr>
            <w:r>
              <w:rPr>
                <w:rFonts w:ascii="맑은 고딕" w:hAnsi="맑은 고딕" w:eastAsia="맑은 고딕" w:cs="맑은 고딕"/>
                <w:b w:val="0"/>
                <w:color w:val="222222"/>
                <w:sz w:val="19"/>
              </w:rPr>
              <w:t>- 시효중단 확인·제척기간 대위말소·사해행위 취소·주택인도 논점 대부분 정확</w:t>
            </w:r>
          </w:p>
          <w:p>
            <w:pPr>
              <w:spacing w:before="0" w:after="20"/>
            </w:pPr>
            <w:r>
              <w:rPr>
                <w:rFonts w:ascii="맑은 고딕" w:hAnsi="맑은 고딕" w:eastAsia="맑은 고딕" w:cs="맑은 고딕"/>
                <w:b w:val="0"/>
                <w:color w:val="222222"/>
                <w:sz w:val="19"/>
              </w:rPr>
              <w:t>- 전부명령 무효(무권대리), 미리 청구할 필요성 기재</w:t>
            </w:r>
          </w:p>
          <w:p>
            <w:pPr>
              <w:spacing w:before="0" w:after="20"/>
            </w:pPr>
            <w:r>
              <w:rPr>
                <w:rFonts w:ascii="맑은 고딕" w:hAnsi="맑은 고딕" w:eastAsia="맑은 고딕" w:cs="맑은 고딕"/>
                <w:b w:val="0"/>
                <w:color w:val="222222"/>
                <w:sz w:val="19"/>
              </w:rPr>
            </w:r>
          </w:p>
          <w:p>
            <w:pPr>
              <w:spacing w:before="0" w:after="20"/>
            </w:pPr>
            <w:r>
              <w:rPr>
                <w:rFonts w:ascii="맑은 고딕" w:hAnsi="맑은 고딕" w:eastAsia="맑은 고딕" w:cs="맑은 고딕"/>
                <w:b/>
                <w:color w:val="1F3864"/>
                <w:sz w:val="19"/>
              </w:rPr>
              <w:t>▶ 오류 원인 진단</w:t>
            </w:r>
          </w:p>
          <w:p>
            <w:pPr>
              <w:spacing w:before="0" w:after="20"/>
            </w:pPr>
            <w:r>
              <w:rPr>
                <w:rFonts w:ascii="맑은 고딕" w:hAnsi="맑은 고딕" w:eastAsia="맑은 고딕" w:cs="맑은 고딕"/>
                <w:b w:val="0"/>
                <w:color w:val="222222"/>
                <w:sz w:val="19"/>
              </w:rPr>
              <w:t>유형: 청구취지 마무리·금액 검토 부족 + 가족법(상속) 미학습</w:t>
            </w:r>
          </w:p>
          <w:p>
            <w:pPr>
              <w:spacing w:before="0" w:after="20"/>
            </w:pPr>
            <w:r>
              <w:rPr>
                <w:rFonts w:ascii="맑은 고딕" w:hAnsi="맑은 고딕" w:eastAsia="맑은 고딕" w:cs="맑은 고딕"/>
                <w:b w:val="0"/>
                <w:color w:val="222222"/>
                <w:sz w:val="19"/>
              </w:rPr>
              <w:t>진단: 청구원인 실체는 합격권 이상이나, 청구취지 완성도(금액·접수번호·완결)·형식(사건명·소송비용·가집행)에서 대량 실점. 배점표 논점만으론 후하게 보이나 모범답안 대조 시 하향.</w:t>
            </w:r>
          </w:p>
          <w:p>
            <w:pPr>
              <w:spacing w:before="0" w:after="20"/>
            </w:pPr>
            <w:r>
              <w:rPr>
                <w:rFonts w:ascii="맑은 고딕" w:hAnsi="맑은 고딕" w:eastAsia="맑은 고딕" w:cs="맑은 고딕"/>
                <w:b w:val="0"/>
                <w:color w:val="222222"/>
                <w:sz w:val="19"/>
              </w:rPr>
              <w:t>개선 방향: ①제출 전 금액 자릿수·소송비용·가집행·각 청구취지 완결 3분 점검 ②가족법(상속·친족) 로3 여름 학습 후 재점검</w:t>
            </w:r>
          </w:p>
          <w:p>
            <w:pPr>
              <w:spacing w:before="0" w:after="20"/>
            </w:pPr>
            <w:r>
              <w:rPr>
                <w:rFonts w:ascii="맑은 고딕" w:hAnsi="맑은 고딕" w:eastAsia="맑은 고딕" w:cs="맑은 고딕"/>
                <w:b w:val="0"/>
                <w:color w:val="222222"/>
                <w:sz w:val="19"/>
              </w:rPr>
            </w:r>
          </w:p>
          <w:p>
            <w:pPr>
              <w:spacing w:before="0" w:after="20"/>
            </w:pPr>
            <w:r>
              <w:rPr>
                <w:rFonts w:ascii="맑은 고딕" w:hAnsi="맑은 고딕" w:eastAsia="맑은 고딕" w:cs="맑은 고딕"/>
                <w:b/>
                <w:color w:val="1F3864"/>
                <w:sz w:val="19"/>
              </w:rPr>
              <w:t>▶ 반복 오류 패턴(누적 주의)</w:t>
            </w:r>
          </w:p>
          <w:p>
            <w:pPr>
              <w:spacing w:before="0" w:after="20"/>
            </w:pPr>
            <w:r>
              <w:rPr>
                <w:rFonts w:ascii="맑은 고딕" w:hAnsi="맑은 고딕" w:eastAsia="맑은 고딕" w:cs="맑은 고딕"/>
                <w:b w:val="0"/>
                <w:color w:val="222222"/>
                <w:sz w:val="19"/>
              </w:rPr>
              <w:t>- 소송비용·가집행 누락(J블록), 금액 자릿수 오기</w:t>
            </w:r>
          </w:p>
          <w:p>
            <w:pPr>
              <w:spacing w:before="0" w:after="20"/>
            </w:pPr>
            <w:r>
              <w:rPr>
                <w:rFonts w:ascii="맑은 고딕" w:hAnsi="맑은 고딕" w:eastAsia="맑은 고딕" w:cs="맑은 고딕"/>
                <w:b w:val="0"/>
                <w:color w:val="222222"/>
                <w:sz w:val="19"/>
              </w:rPr>
              <w:t>- 말소등기 등기원인: 원칙 생략이나 '후발적 실효사유(제척기간·시효 도과)'는 기재 — 예외 숙지</w:t>
            </w:r>
          </w:p>
        </w:tc>
      </w:tr>
    </w:tbl>
    <w:sectPr w:rsidR="00FC693F" w:rsidRPr="0006063C" w:rsidSect="00034616">
      <w:pgSz w:w="11906" w:h="16838"/>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