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제11회 변호사시험 민사기록형 첨삭 결과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2026. 5. 20. 작성  |  강사 의견 반영 최종본 (v3)</w:t>
      </w:r>
    </w:p>
    <w:p>
      <w:pPr>
        <w:pStyle w:val="Heading1"/>
      </w:pPr>
      <w:r>
        <w:t xml:space="preserve">【0】 답안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시험 회차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제11회 변호사시험 (2022년도)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문서 유형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피고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6인 — 최판기, 강유석, 박기철, 조민숙, 최도희, 세화건설 주식회사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청구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건물철거·토지인도 / 저당권말소 / 소유권이전등기·건물인도 / 불법행위손배 / 양수금 / 명의개서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관할 법원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서울북부지방법원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【1】 형식 검토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판정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사건명 기재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양수금 등 청구의 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원고 표시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성명·주소·연락처 정상 기재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피고 표시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6인 전원 정상 기재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청구취지 형식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⚠️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강유석 금액 오류 / 이율(14%→12%) 오류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가집행 선고 신청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3.나·4·5항 명시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소송비용 부담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정상 기재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청구원인 논리순서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발생→항변→재항변 구조 유지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관할 법원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서울북부지방법원 (강북구 관할)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첨부서류 기재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생략 (수험답안지 양식상 허용)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작성일 및 날인란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2022. 1. 14. 정상 기재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법원 귀중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정상 기재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【2】 청구취지 정밀 분석</w:t>
      </w:r>
    </w:p>
    <w:p>
      <w:pPr>
        <w:pStyle w:val="Heading2"/>
      </w:pPr>
      <w:r>
        <w:t xml:space="preserve">▶ 피고 최판기 — 건물철거 및 토지인도</w:t>
      </w:r>
    </w:p>
    <w:p>
      <w:pPr>
        <w:spacing w:after="120"/>
      </w:pPr>
      <w:r>
        <w:rPr>
          <w:b/>
          <w:bCs/>
          <w:color w:val="375623"/>
        </w:rPr>
        <w:t xml:space="preserve">✅ 정확</w:t>
      </w:r>
      <w:r>
        <w:t xml:space="preserve"> — 해설 기재례와 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세직 기재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피고 최판기는 원고에게 별지목록 기재 제1항 대지 지상 별지목록 기재 제2항 부동산을 철거하고, 위 대지를 인도하라.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모범답안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▶ 피고 강유석 — 저당권말소 선이행판결</w:t>
      </w:r>
    </w:p>
    <w:p>
      <w:pPr>
        <w:spacing w:after="120"/>
      </w:pPr>
      <w:r>
        <w:t xml:space="preserve">구조 </w:t>
      </w:r>
      <w:r>
        <w:rPr>
          <w:b/>
          <w:bCs/>
          <w:color w:val="375623"/>
        </w:rPr>
        <w:t xml:space="preserve">✅ 타당</w:t>
      </w:r>
      <w:r>
        <w:t xml:space="preserve">  /  금액 </w:t>
      </w:r>
      <w:r>
        <w:rPr>
          <w:b/>
          <w:bCs/>
          <w:color w:val="C00000"/>
        </w:rPr>
        <w:t xml:space="preserve">❌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세직 기재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피고 강유석은 원고로부터 115,000,000원을 지급받은 뒤, 원고에게 별지목록 기재 제1항 대지에 관하여 … 저당권설정등기의 말소등기절차를 이행하라.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올바른 기재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피고 강유석은 원고로부터 100,000,000원 및 이에 대하여 2017. 7. 15.부터 다 갚는 날까지 연 15%의 비율로 계산한 돈을 지급받은 뒤, 원고에게 … 말소등기절차를 이행하라.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① 구조 「원고로부터」 ✅ 타당</w:t>
      </w:r>
    </w:p>
    <w:p>
      <w:pPr>
        <w:spacing w:after="120"/>
      </w:pPr>
      <w:r>
        <w:t xml:space="preserve">의뢰인 희망사항에 「금전청구 없이 조속히 인도받기를 희망」이 명시되어 있고 최판기가 무자력임이 전제된 이상, 임인형이 민법 제364조 제3취득자 지위에서 직접 변제하는 구조는 법리적으로 타당하다. 「최판기로부터 지급받은 다음」 구조와 병용 가능하며, 이 사건 사실관계상 「원고로부터」가 의뢰인 희망에 더 부합한다. (정연석·송영곤 두 강사 모두 이 구조를 허용.)</w:t>
      </w:r>
    </w:p>
    <w:p>
      <w:pPr>
        <w:spacing w:after="120"/>
      </w:pPr>
      <w:r>
        <w:rPr>
          <w:b/>
          <w:bCs/>
        </w:rPr>
        <w:t xml:space="preserve">② 금액 115,000,000원 ❌ — 민법 제360조 단서 오적용</w:t>
      </w:r>
    </w:p>
    <w:p>
      <w:pPr>
        <w:spacing w:after="120"/>
      </w:pPr>
      <w:r>
        <w:t xml:space="preserve">민법 제360조 단서(지연배상 1년분 제한)는 경매 절차에서 후순위 저당권자·일반채권자 보호를 위한 규정으로, 민법 제364조에 의한 제3취득자 임의변제 시에는 적용되지 않는다. 지급해야 할 금액은 원본 100,000,000원 및 이에 대한 2017. 7. 15.부터 다 갚는 날까지 연 15%의 비율로 계산한 돈 전액이다.</w:t>
      </w:r>
    </w:p>
    <w:p>
      <w:pPr>
        <w:spacing w:after="160"/>
      </w:pPr>
    </w:p>
    <w:p>
      <w:pPr>
        <w:pStyle w:val="Heading2"/>
      </w:pPr>
      <w:r>
        <w:t xml:space="preserve">▶ 피고 박기철 — 소유권이전등기 및 건물인도</w:t>
      </w:r>
    </w:p>
    <w:p>
      <w:pPr>
        <w:spacing w:after="120"/>
      </w:pPr>
      <w:r>
        <w:rPr>
          <w:b/>
          <w:bCs/>
          <w:color w:val="375623"/>
        </w:rPr>
        <w:t xml:space="preserve">✅ 타당</w:t>
      </w:r>
      <w:r>
        <w:t xml:space="preserve"> (정연석 강사 기준 정답)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세직 기재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피고 박기철은 원고로부터 100,000,000원에서 2021. 11. 1.부터 인도완료일까지 월 2,000,000원을 공제한 돈을 지급받음과 동시에, 가. 위 부동산의 소유권이전등기절차를 이행하고, 나. 위 부동산을 인도하라.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모범답안 (정연석)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 구조 — 소이등 청구 정답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도급인 원시취득 법리상 수급인 명의 보존등기는 원인무효이므로 보존등기말소를 구해야 한다는 견해(송영곤 해설서)도 있으나, 수급인 명의 보존등기에 대해 도급인이 소유권이전등기를 청구하는 것이 실무적으로 허용된다는 견해(정연석 강사)에 따르면 세직 기재가 정답이다. 강사 간 견해 차이가 있으므로 감점 없이 처리한다.</w:t>
      </w:r>
    </w:p>
    <w:p>
      <w:pPr>
        <w:spacing w:after="120"/>
      </w:pPr>
      <w:r>
        <w:t xml:space="preserve">동시이행 구조(잔금 지급 + 등기·인도) 및 사용이익 공제(2021. 11. 1.~인도완료일, 월 200만 원) 처리는 타당하다.</w:t>
      </w:r>
    </w:p>
    <w:p>
      <w:pPr>
        <w:spacing w:after="160"/>
      </w:pPr>
    </w:p>
    <w:p>
      <w:pPr>
        <w:pStyle w:val="Heading2"/>
      </w:pPr>
      <w:r>
        <w:t xml:space="preserve">▶ 피고 조민숙 — 불법행위 손해배상</w:t>
      </w:r>
    </w:p>
    <w:p>
      <w:pPr>
        <w:spacing w:after="120"/>
      </w:pPr>
      <w:r>
        <w:t xml:space="preserve">금액·기산점 </w:t>
      </w:r>
      <w:r>
        <w:rPr>
          <w:b/>
          <w:bCs/>
          <w:color w:val="375623"/>
        </w:rPr>
        <w:t xml:space="preserve">✅</w:t>
      </w:r>
      <w:r>
        <w:t xml:space="preserve">  /  이율·기간 구분 </w:t>
      </w:r>
      <w:r>
        <w:rPr>
          <w:b/>
          <w:bCs/>
          <w:color w:val="C00000"/>
        </w:rPr>
        <w:t xml:space="preserve">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세직 기재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피고 조민숙은 원고에게 500,000,000원 및 이에 대한 이 사건 소장부본 송달일 다음날부터 다 갚는 날까지 연 14%의 비율로 계산한 돈을 지급하라.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올바른 기재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피고 조민숙은 원고에게 500,000,000원 및 이에 대하여 2021. 7. 25.부터 이 사건 소장부본 송달일까지는 연 5%의, 그 다음날부터 다 갚는 날까지는 연 12%의 각 비율로 계산한 돈을 지급하라.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① 기산점 구분 누락: 불법행위 손해배상 지연손해금은 손해 현실화일(2021. 7. 25.)부터 발생한다. 손해발생일~소장송달일: 민법 연 5% / 그 다음날~다 갚는 날: 소촉법 연 12%의 2구간 구조가 필요하나 앞 구간 전체가 누락되었다.</w:t>
      </w:r>
    </w:p>
    <w:p>
      <w:pPr>
        <w:spacing w:after="120"/>
      </w:pPr>
      <w:r>
        <w:t xml:space="preserve">② 이율 오류: 소촉법 현행 이율은 연 12% (2019. 6. 1. 개정). 14%는 폐지된 구 이율.</w:t>
      </w:r>
    </w:p>
    <w:p>
      <w:pPr>
        <w:spacing w:after="160"/>
      </w:pPr>
    </w:p>
    <w:p>
      <w:pPr>
        <w:pStyle w:val="Heading2"/>
      </w:pPr>
      <w:r>
        <w:t xml:space="preserve">▶ 피고 최도희 — 양수금</w:t>
      </w:r>
    </w:p>
    <w:p>
      <w:pPr>
        <w:spacing w:after="120"/>
      </w:pPr>
      <w:r>
        <w:t xml:space="preserve">금액 </w:t>
      </w:r>
      <w:r>
        <w:rPr>
          <w:b/>
          <w:bCs/>
          <w:color w:val="375623"/>
        </w:rPr>
        <w:t xml:space="preserve">✅</w:t>
      </w:r>
      <w:r>
        <w:t xml:space="preserve">  /  이율 </w:t>
      </w:r>
      <w:r>
        <w:rPr>
          <w:b/>
          <w:bCs/>
          <w:color w:val="C00000"/>
        </w:rPr>
        <w:t xml:space="preserve">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세직 기재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피고 최도희는 원고에게 40,000,000원 및 이에 대한 2020. 4. 30.부터 소장부본 송달일까지는 연 10%의, 그 다음날부터 다 갚는 날까지는 연 14%의 각 비율로 계산한 돈을 지급하라.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올바른 기재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피고 최도희는 원고에게 40,000,000원 및 이에 대하여 2020. 4. 30.부터 이 사건 소장부본 송달일까지는 연 10%의, 그 다음날부터 다 갚는 날까지는 연 12%의 각 비율로 계산한 돈을 지급하라.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잔액 산정: 원금 2억 원 − 전부명령 6,000만 원 − 상계 1억 원 = 4,000만 원 (청구취지 금액 정확). 청구원인에서 「나머지 8,000만 원」으로 잘못 기재한 것은 계산 오류. 소촉법 이율 14% → 12% 수정 필요.</w:t>
      </w:r>
    </w:p>
    <w:p>
      <w:pPr>
        <w:spacing w:after="160"/>
      </w:pPr>
    </w:p>
    <w:p>
      <w:pPr>
        <w:pStyle w:val="Heading2"/>
      </w:pPr>
      <w:r>
        <w:t xml:space="preserve">▶ 피고 세화건설 주식회사 — 명의개서</w:t>
      </w:r>
    </w:p>
    <w:p>
      <w:pPr>
        <w:spacing w:after="120"/>
      </w:pPr>
      <w:r>
        <w:t xml:space="preserve">청구 방향 </w:t>
      </w:r>
      <w:r>
        <w:rPr>
          <w:b/>
          <w:bCs/>
          <w:color w:val="375623"/>
        </w:rPr>
        <w:t xml:space="preserve">✅</w:t>
      </w:r>
      <w:r>
        <w:t xml:space="preserve">  /  요건사실 </w:t>
      </w:r>
      <w:r>
        <w:rPr>
          <w:b/>
          <w:bCs/>
          <w:color w:val="C00000"/>
        </w:rPr>
        <w:t xml:space="preserve">❌ 거의 없음</w:t>
      </w:r>
    </w:p>
    <w:p>
      <w:pPr>
        <w:spacing w:after="120"/>
      </w:pPr>
      <w:r>
        <w:t xml:space="preserve">청구취지 방향(회사에 대한 명의개서 청구)은 타당하나 청구원인이 1줄에 불과하다. 명의신탁 해지, 채권자대위권 행사 요건, 주주권 귀속 법리 모두 누락되어 배점 대부분 실기.</w:t>
      </w:r>
    </w:p>
    <w:p>
      <w:pPr>
        <w:spacing w:after="160"/>
      </w:pPr>
    </w:p>
    <w:p>
      <w:pPr>
        <w:pStyle w:val="Heading1"/>
      </w:pPr>
      <w:r>
        <w:t xml:space="preserve">【3】 요건사실·청구원인 실체 법리 검토</w:t>
      </w:r>
    </w:p>
    <w:p>
      <w:pPr>
        <w:pStyle w:val="Heading2"/>
      </w:pPr>
      <w:r>
        <w:t xml:space="preserve">▶ 피고 최판기 (건물철거·토지인도)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원고 소유권 취득 경위(2018. 4. 23. 매매 → 2021. 3. 25. 소유권이전등기) 명확히 기재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피고 점유 사실 및 건물 신축 경위 기재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임대차 대항력 미취득 → 임대인 지위 미승계 논거로 항변 배척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보증금 동시이행 항변 → 임대인 지위 미승계로 배척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관습법상 법정지상권 부존재 결론 정확 (토지·건물 소유자가 처음부터 상이)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⚠️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법정지상권 기준시점을 매매계약일·가처분등기일로 잡음 → 소유권이전등기 경료일(2021. 3. 25.)이 맞으나 결론에 영향 없음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⚠️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토지임대차 대항력 요건에 사업자등록 언급 → 상임법 혼용 (토지임대차는 민법 제621조 임차권등기)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▶ 피고 강유석 (저당권말소)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피담보채권 특정(불법행위 손해배상채권 1억 원 + 연 15%) 기재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소멸시효 항변 — 명시설 적용, 1억 원 청구 → 나머지 2억 원에 대한 시효 완성 논리 정확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2021. 5. 7. 각서 = 시효이익 포기 효력 없음 (악의 추정 불가 + 제3취득자에 상대적 효력 불미침) 정확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❌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피담보채권액을 제360조 단서 적용하여 1억 1,500만 원으로 잘못 산정 (임의변제 시 제360조 단서 미적용)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▶ 피고 박기철 (소유권이전등기·건물인도)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도급계약 체결·원시취득 취지 기재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동시이행 구조 설정 타당 (잔금 지급 + 등기·인도)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사용이익 공제(2021. 11. 1.~인도완료일, 월 200만 원) 처리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유치권 = 점유 정당화하나 사용수익은 정당화하지 않는다는 논거 정확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▶ 피고 조민숙 (불법행위 손해배상)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조민숙 불법행위(인감도장 도용·위조등기·매도) 사실관계 기재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김진오 등기부취득시효 완성 → 소유권 상실 → 손해 현실화(패소확정일 2021. 7. 25.) 논리 정확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소멸시효 기산점을 손해 현실화일로 정확 특정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배상액 = 손해 현실화 시점 시가(5억 원) 논거 정확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❌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이율 14% → 12% 오류 / 손해발생일부터 5% 구간 누락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▶ 피고 최도희 (양수금)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채권양도·통지 구조 기재 (2019. 5. 16. 양수 / 2019. 5. 17. 통지)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전부명령(6,000만 원, 2019. 10. 10. 송달) 공제 처리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상계적상(2019. 5. 1.) &lt; 전부명령 송달(2019. 10. 10.) 구조로 상계 소급효 처리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⚠️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청구원인에 「나머지 8,000만 원」으로 잘못 기재 (정답: 4,000만 원)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❌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소촉법 이율 14% → 12% 오류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▶ 피고 세화건설 (명의개서)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⚠️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청구 방향은 타당하나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❌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명의신탁 해지, 채권자대위권 행사 요건, 주주권 귀속 법리 전무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【4】 실체법 주요 오류 — 민법 기본서 기재용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조문 / 법리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핵심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민법 제360조 단서 적용 범위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경매 절차에서 후순위 권리자 보호 규정. 제364조 제3취득자 임의변제 시에는 미적용 → 원본 + 전 기간 이자 전액 변제 대상.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관습법상 법정지상권 기준시점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토지·건물 소유자가 달라지는 시점 = 소유권이전등기 경료일 기준. 매매계약일·가처분등기일 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토지임대차 대항력 요건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민법 제621조 임차권등기. 상가임대차보호법 사업자등록은 상가건물에만 적용, 토지임대차에 혼용 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불법행위 손배 지연손해금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손해발생일~소장송달일: 연 5%(민법) / 그 다음날~: 연 12%(소촉법). 소장 이전 구간 누락 주의.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소촉법 현행 이율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연 12% (2019. 6. 1. 시행). 14%는 폐지된 구 이율 — 절대 사용 ❌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【5】 종합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500"/>
        <w:gridCol w:w="1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영역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배점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1차 추정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최종 수정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변동 사유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청구취지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15~20점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30~37점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강유석 구조 오지적 철회 / 박기철 소이등 수용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요건사실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22~28점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22~27점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형식적 기재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10~12점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10~12점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상법(세화건설)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~20점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5~8점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5~8점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합계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175점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52~68점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67~84점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B등급 (합격권 근접)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등급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 — 합격권 근접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합격선 대비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추정 원점수 합격선 55~70점 / 이번 추정 67~84점으로 합격선 상단~초과 범위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1차 추정 (수정 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(추정) 52~68점 — C등급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최종 (강사 의견 반영)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(추정) 67~84점 — B등급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총평</w:t>
      </w:r>
    </w:p>
    <w:p>
      <w:pPr>
        <w:spacing w:after="120"/>
      </w:pPr>
      <w:r>
        <w:t xml:space="preserve">강유석 청구 구조(원고로부터 직접 변제)와 박기철 소이등 청구가 법리적으로 타당함이 확인되면서 청구취지 점수가 대폭 상향되었다. 남은 핵심 감점은 ① 강유석 금액(제360조 단서 오적용, 1억 1,500만 원), ② 소촉법 이율 오류(14%→12%, 조민숙·최도희 공통), ③ 불법행위 지연손해금 앞 구간(5%) 누락, ④ 세화건설 요건사실 공백 4가지다. 요건사실 논리(소멸시효 구조, 손해 현실화일 기산점, 상계 처리)는 전반적으로 안정적이다. 위 4가지 오류만 교정하면 합격권 중위권 안착이 가능하다.</w:t>
      </w:r>
    </w:p>
    <w:p>
      <w:pPr>
        <w:spacing w:after="160"/>
      </w:pPr>
    </w:p>
    <w:p>
      <w:pPr>
        <w:pStyle w:val="Heading1"/>
      </w:pPr>
      <w:r>
        <w:t xml:space="preserve">【6】 핵심 수정 사항 TOP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1순위
[실체]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민법 제360조 단서 오적용 → 강유석 금액 오류
제364조 임의변제 시 미적용. 올바른 기재: 1억 원 및 2017. 7. 15.부터 다 갚는 날까지 연 15% 전액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2순위
[형식]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소촉법 이율 14% → 12% (조민숙·최도희 공통)
불법행위 손배: 손해발생일(2021. 7. 25.)부터 연 5% 구간 추가 기재 필수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3순위
[실체]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세화건설 요건사실 공백
명의신탁 해지 + 채권자대위권 행사 요건 + 주주권 귀속 법리 기재 필요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【7】 첨삭 요약 (누적 저장용)</w:t>
      </w:r>
    </w:p>
    <w:p>
      <w:pPr>
        <w:pBdr>
          <w:top w:val="single" w:color="1F3864" w:sz="6"/>
        </w:pBdr>
        <w:spacing w:after="80" w:before="100"/>
      </w:pPr>
    </w:p>
    <w:p>
      <w:pPr>
        <w:spacing w:after="120"/>
      </w:pPr>
      <w:r>
        <w:t xml:space="preserve">[기록형 첨삭 요약]</w:t>
      </w:r>
    </w:p>
    <w:p>
      <w:pPr>
        <w:spacing w:after="120"/>
      </w:pPr>
      <w:r>
        <w:t xml:space="preserve">일자: 2026. 5. 20.</w:t>
      </w:r>
    </w:p>
    <w:p>
      <w:pPr>
        <w:spacing w:after="120"/>
      </w:pPr>
      <w:r>
        <w:t xml:space="preserve">문제: 제11회 변호사시험 민사기록형 (소장, 피고 6인)</w:t>
      </w:r>
    </w:p>
    <w:p>
      <w:pPr>
        <w:spacing w:after="120"/>
      </w:pPr>
      <w:r>
        <w:t xml:space="preserve">예상득점: (추정) 67~84 / 175점 — B등급 (합격권 근접)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▶ 형식 오류</w:t>
      </w:r>
    </w:p>
    <w:p>
      <w:pPr>
        <w:spacing w:after="120"/>
      </w:pPr>
      <w:r>
        <w:t xml:space="preserve">- 소촉법 이율 14% 기재 (현행 12%, 조민숙·최도희 공통)</w:t>
      </w:r>
    </w:p>
    <w:p>
      <w:pPr>
        <w:spacing w:after="120"/>
      </w:pPr>
      <w:r>
        <w:t xml:space="preserve">- 불법행위 손배 지연손해금 2구간 구분 누락 (손해발생일 연 5% / 소장송달 다음날 연 12%)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▶ 청구취지 오류</w:t>
      </w:r>
    </w:p>
    <w:p>
      <w:pPr>
        <w:spacing w:after="120"/>
      </w:pPr>
      <w:r>
        <w:t xml:space="preserve">- 강유석 금액 1억 1,500만 원 (민법 제360조 단서 오적용 — 임의변제 시 미적용, 전액 지급 대상)</w:t>
      </w:r>
    </w:p>
    <w:p>
      <w:pPr>
        <w:spacing w:after="120"/>
      </w:pPr>
      <w:r>
        <w:t xml:space="preserve">- ※ 강유석 구조 「원고로부터」: 타당 확인 / 박기철 소이등 청구: 타당 확인 (정연석 강사)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▶ 실체(요건사실) 오류</w:t>
      </w:r>
    </w:p>
    <w:p>
      <w:pPr>
        <w:spacing w:after="120"/>
      </w:pPr>
      <w:r>
        <w:t xml:space="preserve">- 법정지상권 기준시점 오류 (매매계약일 → 소유권이전등기 경료일이 맞음, 결론 영향 없음)</w:t>
      </w:r>
    </w:p>
    <w:p>
      <w:pPr>
        <w:spacing w:after="120"/>
      </w:pPr>
      <w:r>
        <w:t xml:space="preserve">- 토지임대차 대항력에 상임법 사업자등록 혼용 (민법 제621조 임차권등기가 맞음)</w:t>
      </w:r>
    </w:p>
    <w:p>
      <w:pPr>
        <w:spacing w:after="120"/>
      </w:pPr>
      <w:r>
        <w:t xml:space="preserve">- 세화건설 요건사실 거의 전무 (명의신탁 해지·채권자대위·주주권 귀속 논리 미기재)</w:t>
      </w:r>
    </w:p>
    <w:p>
      <w:pPr>
        <w:spacing w:after="120"/>
      </w:pPr>
      <w:r>
        <w:t xml:space="preserve">- 최도희 청구원인 잔액 계산 오류 (8,000만 원 → 4,000만 원)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▶ 오류 원인 진단</w:t>
      </w:r>
    </w:p>
    <w:p>
      <w:pPr>
        <w:spacing w:after="120"/>
      </w:pPr>
      <w:r>
        <w:t xml:space="preserve">유형: 실체법 세부 법리 혼동 (적용 맥락 오판)</w:t>
      </w:r>
    </w:p>
    <w:p>
      <w:pPr>
        <w:spacing w:after="120"/>
      </w:pPr>
      <w:r>
        <w:t xml:space="preserve">진단: 제360조 단서가 경매 절차에만 적용되는 보호 규정임을 인식하지 못함. 소촉법 이율이 2019년에 개정되었음을 미반영.</w:t>
      </w:r>
    </w:p>
    <w:p>
      <w:pPr>
        <w:spacing w:after="120"/>
      </w:pPr>
      <w:r>
        <w:t xml:space="preserve">개선 방향: 「이 청구에서 경매인가 임의변제인가」를 먼저 확인. 소촉법 이율 12% 확정 암기.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▶ 반복 오류 패턴 (누적 주의)</w:t>
      </w:r>
    </w:p>
    <w:p>
      <w:pPr>
        <w:spacing w:after="120"/>
      </w:pPr>
      <w:r>
        <w:t xml:space="preserve">- 소촉법 이율 14% 기재 → 12%로 확정 암기</w:t>
      </w:r>
    </w:p>
    <w:p>
      <w:pPr>
        <w:spacing w:after="120"/>
      </w:pPr>
      <w:r>
        <w:t xml:space="preserve">- 불법행위 손배 앞 구간(연 5%) 누락</w:t>
      </w:r>
    </w:p>
    <w:p>
      <w:pPr>
        <w:spacing w:after="120"/>
      </w:pPr>
      <w:r>
        <w:t xml:space="preserve">- 저당권 관련 법리(제360조·제364조 관계) 혼동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▶ 다음 답안 작성 전 점검 포인트</w:t>
      </w:r>
    </w:p>
    <w:p>
      <w:pPr>
        <w:spacing w:after="120"/>
      </w:pPr>
      <w:r>
        <w:t xml:space="preserve">- 저당권 말소: 임의변제(제364조)인가 경매인가 → 임의변제면 제360조 단서 미적용, 전액</w:t>
      </w:r>
    </w:p>
    <w:p>
      <w:pPr>
        <w:spacing w:after="120"/>
      </w:pPr>
      <w:r>
        <w:t xml:space="preserve">- 소촉법 이율: 12% (14% 절대 ❌)</w:t>
      </w:r>
    </w:p>
    <w:p>
      <w:pPr>
        <w:spacing w:after="120"/>
      </w:pPr>
      <w:r>
        <w:t xml:space="preserve">- 불법행위 손배 기산: 손해발생일부터 5% → 소장 송달 다음날부터 12%</w:t>
      </w:r>
    </w:p>
    <w:p>
      <w:pPr>
        <w:spacing w:after="120"/>
      </w:pPr>
      <w:r>
        <w:t xml:space="preserve">- 상법 주주권 쟁점: 요건사실(명의신탁 해지·채권자대위·주주권 귀속) 반드시 기재</w:t>
      </w:r>
    </w:p>
    <w:p>
      <w:pPr>
        <w:pBdr>
          <w:bottom w:val="single" w:color="1F3864" w:sz="6"/>
        </w:pBdr>
        <w:spacing w:after="100" w:before="80"/>
      </w:pP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제11회 민기록 첨삭 최종본  |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20" w:before="28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2026-05-20T17:47:20.901Z</dcterms:created>
  <dcterms:modified xsi:type="dcterms:W3CDTF">2026-05-20T17:47:20.902Z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