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맑은 고딕" w:cs="맑은 고딕" w:eastAsia="맑은 고딕" w:hAnsi="맑은 고딕"/>
          <w:b/>
          <w:bCs/>
          <w:color w:val="1A237E"/>
          <w:sz w:val="72"/>
          <w:szCs w:val="72"/>
        </w:rPr>
        <w:t xml:space="preserve">민법 암기노트</w:t>
      </w:r>
      <w:r>
        <w:rPr>
          <w:rFonts w:ascii="맑은 고딕" w:cs="맑은 고딕" w:eastAsia="맑은 고딕" w:hAnsi="맑은 고딕"/>
          <w:color w:val="777777"/>
          <w:sz w:val="36"/>
          <w:szCs w:val="36"/>
        </w:rPr>
        <w:t xml:space="preserve">  2026-05-27 ~ 05-28  ·  채권법</w:t>
      </w:r>
    </w:p>
    <w:p>
      <w:pPr>
        <w:pBdr>
          <w:bottom w:val="single" w:color="1A237E" w:sz="8" w:space="2"/>
        </w:pBdr>
        <w:spacing w:after="400" w:before="0"/>
      </w:pPr>
    </w:p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채무불이행 &gt; 이행보조자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이행보조자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'채무자의 의사 관여 아래 그 채무의 이행행위에 속하는 활동을 하는 사람이면 족하고, 채무자에 대하여 종속적인가 독립적인 지위에 있는가는 문제되지 않는다.'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'채무자가 이를 승낙하였거나 적어도 묵시적으로 동의한 경우 복이행보조자의 고의 과실에 관하여 제391조의 책임을 부담한다'(적.목.동)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채무불이행 &gt; 이행지체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이행지체 (제387조)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요건: 이·가·위·위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이행기, 가능, 위법, 귀책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효과: 강·가·손·해 (강제이행, 가산배상, 손해배상, 해제)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채무불이행 &gt; 동시이행항변권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동시이행항변권 (제536조)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동·대·변·이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동일쌍무계약, 대가적채무, 변제기도래, 이행미제공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'동일한 쌍무계약에 기초한 대가적 채무가 존재할 것, 적어도 상대방의 채무가 변제기에 있을 것, 상대방이 이행 또는 이행의 제공을 하고 있지 않을 것(동.대.변.이)'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'중도금 및 이에 대한 지급일 다음날부터 잔대금지급기일까지의 지연손해금과 잔대금의 지급채무는 매도인의 소유권이전등기의무와 동시이행의 관계에 있다'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'판례는 동시이행의 항변권을 소멸시키려면 한번 이행의 제공이 되었다는 사실만으로 불충분하고 이행의 제공이 계속되어야 한다고 보아 계속적 이행제공설의 입장인바, 다만 이행제공의 정도와 관련하여서는 이행장소에 준비하여 두고 그 뜻을 통지하고 신의칙상 요구되는 상당한 시간 간격을 두고 거듭 수령을 최고하면 된다고 한다'(준.시.최.)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'이행기에 한번 이행제공을 하여서 상대방을 이행지체에 빠지게 한 경우, 신의칙상 채무이행의 제공을 계속 할 필요는 없다 하더라도 상대방이 최고 기간 내에 이행 또는 이행제공을 하면 계약해제권은 소멸되므로 상대방의 이행을 수령하고 자신의 채무를 이행할 수 있을 정도의 준비가 되어있으면 된다.'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'원고의 반대 의사표시가 없는 한 선이행판결'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'양 채무를 현실적으로 이행하여야 할 필요성이 없는 한 동시이행의 항변권이 붙어 있는 채권을 자동채권으로 하는 상계도 허용된다'(양현이필상)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'동시이행의 항변권이 붙어있는 채권은 이를 자동채권으로 하여 상계할 수 없으나, 수동채권에 항변권이 붙어 있는 경우에는 채무자가 이를 포기하고 상계하는 것은 무방하다.'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채무불이행 &gt; 이행불능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이행불능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요건: 후·불·귀·위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후발적, 불능, 귀책, 위법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효과: 손·해·대 (손해배상, 해제, 대상청구권)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'판례는 물권적 청구권은 그 권리자인 소유자가 소유권을 상실하면 이제 그 발생의 기반이 아예 없게 되어 더 이상 그 존재 자체가 인정되지 아니하는 것이라고 한다'(물.소.발.기)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채무불이행 &gt; 이행불능 &gt; 대상청구권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대상청구권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급·후·대·반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급부, 후발적불능, 대상물, 반환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'우리 민법은 이행불능의 효과로서 대상청구권을 규정하고 있지 않으나 판례는 해석상 이를 부정할 이유가 없다고 하여 대상청구권을 정면에서 긍정하였다.'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'취득시효가 완성된 토지가 협의수용된 경우 수용으로 인한 이행불능 이전에 시효완성으로 인한 권리 주장 또는 등기청구권의 행사가 있었어야 한다'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'무제한설과 제한설이 대립하나, 판례는 매매의 목적물이 화재로 소실됨에 따른 화재보험금에 대해 매수인의 대상청구권을 인정하면서 화재보험금 전부에 대해 대상청구권을 행사할 수 있는 것이지, 매매대금 상당액의 한도 내로 그 범위가 제한된다고 할 수 없다고 판시하여 무제한설에 가까운 입장이다'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채무불이행 &gt; 이행거절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이행거절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요건: 이·거·귀·위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이행가능, 진지한거절, 귀책, 위법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효과: 강·전·해 (강제이행, 전보배상, 해제)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'이행기 전이라도 신의칙상 이행의 최고를 할 필요도 없이 바로 전보배상을 청구할 수 없다.'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'이행기의 도래여부와 상관없이 신의칙상 최고 없이도 계약을 해제할 수 있다.'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'판례는 채권자가 미리 수령을 확고하게 거절한 경우에는 채무자는 구두제공조차 하지 않더라도 채무불이행책임을 면하나(460조, 제461조), </w:t>
            </w: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7B0000"/>
                <w:sz w:val="44"/>
                <w:szCs w:val="44"/>
              </w:rPr>
              <w:t xml:space="preserve">&lt;대가위험을 상대방에게 이전시키기 위해서는(제538조 제1항 후문) 채무자의 변제제공이 필요&gt;</w:t>
            </w: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하다고 한다'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채무불이행 &gt; 불완전이행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불완전이행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이·불·귀·위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이행, 불완전, 귀책, 위법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채무불이행 &gt; 채권자지체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채권자지체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수협·이·거·불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수령/협력필요, 이행제공, 거절, 불능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'지참채무의 경우 채권자의 주소에서 현실의 제공을 한 때(제460조 본문), 즉 목적물이 채권자의 주소에 도달하고 채권자가 언제든지 수령할 수 있는 상태에 놓여진 때 특정된다.'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'채권자지체의 법적성질에 대해 채무불이행책임과 법정책임설이 대립하나, 판례는 채무자가 채권자에 대하여 일반적인 채무불이행책임과 마찬가지로 손해배상이나 계약해제를 구할 수 없다고 하여 법정책임설과 동일한 입장이다.'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'영구적 불수령의 경우에 그것만으로 곧바로 대가위험이 이전되지 않고, 채무자의 변제제공이 있어야만 비로소 대가위험이 이전'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채권의 효력 &gt; 채권자대위권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채권자대위권 (제404조)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보·필·불·대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보전필요, 필요성, 불이행, 대위가능권리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'판례는 채권자대위소송은 민법이 권리주체인 채무자와 병행하여 채권자에게 소송수행권을 부여한 결과 채무자를 대위하여 소송수행권을 가지는 제3자 법정소송담당(병행형)으로 보는바 소송물은 피대위권리이다.'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'원칙적으로 채무자가 무자력이어야 하나, 피보전채권과 피대위권리가 밀접하게 관련되어 있고, 채권자대위권을 행사하지 않으면 피보전채권을 유효 적절하게 행사할 수 없는 경우에는 무자력을 요하지 않는다.'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'채권자가 양수한 임차보증금의 이행을 청구하기 위하여 임차인의 가옥명도가 선이행되어야 할 필요가 있어서 무자력을 요하지않는다.'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'토지소유권에 근거하여 그 토지상 건물의 임차인들을 상대로 건물에서의 퇴거를 청구할 수 있었더라도, 퇴거청구와 건물의 임대인을 대위하여 임차인들에게 임대차계약의 해지를 통고하고 건물의 인도를 구하는 청구는 그 요건과 효과를 달리하는 것으로 채권보전의 필요성이 인정된다.'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'임대차계약 해지권은 오로지 임대인의 의사에 행사의 자유가 맡겨져 있는 행사상의 일신전속권에 해당하는 것으로 볼 수 없다'(오.행.자)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채권의 효력 &gt; 채권자취소권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채권자취소권 — 사해행위 (제406조)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'책임재산은 피담보채권액을 공제한 나머지 부분만이라 할 것이고, 그 피담보채권이 목적물의 가격을 초과하고 있는 때에는 당해 목적물의 양도는 사해행위에 해당한다고 할 수 없는바, 여기서 피담보채권액이란 채권최고액이 아니다'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'사해행위 당시 부동산이 가압류되어 있다는 사정은 채권자평등의 원칙상 채권자의 공동담보로서 그 부동산의 가치에 아무런 영향을 미치지 아니하므로, (가압류 공제 불요)'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'민법 제368조의 규정 취지에 비추어 공동저당권의 목적으로 된 각 부동산의 가액에 비례하여 공동저당권의 피담보채권액을 안분한 금액'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'채권자가 스스로 불이익이나 위험을 감수하면서 원물반환을 구하는 것까지 허용되지 않는 것으로 볼 것은 아니고 수익자를 상대로 채무자 앞으로 직접 소유권이전등기절차를 이행할 것을 구할 수 있다'(스.위.수)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'원상회복은 원칙적으로 원물반환의 방법을 청구하여야 하나, 원물반환이 불가능하거나 현저히 곤란한 경우에는 예외적으로 원물반환에 갈음하여 가액반환이 허용된다.'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'채권자취소권은 채권자 개개인에게 부여된 고유한 권리'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채권의 목적 &gt; 제3자의 채권침해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제3자의 채권침해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독립 경제주체 간 경쟁적 계약관계: 단순히 계약내용을 알면서 체결한 것만으로 부족 → 적극 공모 필요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'단순히 제3자가 채무자와 채권자 간의 계약내용을 알면서 계약을 체결한 것만으로는 제3자의 고의 과실 및 위법성을 인정하기에 부족하고, 제3자가 채무자와 적극 공모하였다든가 사회상규 위반 등의 사정이 있어야 한다'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특정물채권 멸실·훼손: 알면서 고의로 침해 시 불법행위 성립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채권의 목적 &gt; 이중매매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이중매매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'판례는 반사회적인 이중매매의 경우에 제1매수인은 매도인을 대위하여 제2매수인에 대해 등기의 말소를 청구할 수 있다고 하였으나 구체적인 논거는 제시하지 않았다.'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다수당사자의 채권관계 &gt; 분할채권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분할채권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'금전채무와 같이 급부의 내용이 가분적인 채무가 공동상속된 경우, 상속개시와 동시에 당연히 법정상속분에 따라 공동상속인에게 귀속하는 것으로 상속재산분할의 대상이 될 여지가 없다.'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다수당사자의 채권관계 &gt; 부진정연대채무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부진정연대채무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'판례는 상계를 한 경우에도 채권이 현실적으로 만족을 얻어 그 목적을 달성하는 것이므로, 그 상계로 인한 채무소멸의 효력은 소멸한 채무 전액에 관하여 다른 부진정연대채무자들에게도 미친다고 하여 상계의 절대적 효력을 인정하였다'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'사용자의 손해배상책임은 피용자의 배상책임에 대한 대체적 책임이어서, 사용자도 제3자와 부진정연대관계에 있다.'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다수당사자의 채권관계 &gt; 부진정연대채무 &gt; 일부변제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부진정연대채무자의 일부변제 — 외측설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'당사자의 의사와 채무 전액의 지급을 확실히 확보하려는 부진정연대채무 제도의 취지에 비추어 볼 때 일부 변제의 경우 먼저 소멸하는 부분은 다액채무자가 단독으로 부담하는 부분으로 보아야 한다고 하여 전원합의체 판결을 선고하였다.'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결론: 당사자의 의사, 채무 전액 지급 확보 목적 → 외측설로 통일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다수당사자의 채권관계 &gt; 보증채무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보증채무 — 부종성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'주채무가 소멸시효 완성으로 소멸한 경우 보증채무도 그 채무 자체의 시효중단에도 불구하고 보증채무의 부종성에 따라 당연히 소멸된다'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'주채무의 시효소멸에도 불구하고 보증채무를 이행하겠다는 의사를 표시한 경우와 같이 부종성을 부정하여야 할 다른 특별한 사정이 없는한 보증인은 여전히 주채무의 시효소멸을 이유로 보증채무의 소멸을 주장할 수 있다'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채권양도 &gt; 장래채권의 양도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장래채권의 양도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확·특·발·기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확정된기본관계, 특정가능, 발생기대, 기대상당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'기본적 채권관계가 어느정도 확정되어 있어, 권리의 특정이 가능하고, 가까운 장래에 채권이 발생할 것이 상당한 정도 기대되는 경우이는 장래채권을 양도할 수있다'(확.특.발.기)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채권양도 &gt; 양도금지채권 압류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양도금지채권 압류 가부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개·의·금·해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개인의사, 압류금지창출불가, 해당안됨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'개인의 의사표시로 압류금지 재산을 만들어내는 것은 채권자를 해하는 것이 되어 부당하므로, 악의의 채권자라도 압류 및 전부명령에 의해 채권을 취득할 수 있다'(개.의.금.해)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채권양도 &gt; 이의보류 없는 승낙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이의보류 없는 승낙 — 항변절단 (제451조)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'채무자가 이의를 보류하지 않은 승낙을 한 경우에는 채무자는 양도인에게 대항할 수 있는 사유로 양수인에게 대항할 수 없는바(제451조 본문), 판례는 이는 채무자의 승낙에 공신력을 주어 양수인의 신뢰를 보호하고 채권양도의 유통성을 보호하기 위한 것이라고 한다'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'양도인에게 대항할 수 있는 사유란 채권의 성립 존속 행사를 저지지 배척하는 사유는 물론 변제 등에 의한 채무소멸의 사유, 나아가 불법목적에 의하여 발생된 채권의 항변사유도 포함된다.'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'이러한 항변절단의 효과는 채무자와 양수인 사이에서만 발생한다'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999999"/>
          <w:sz w:val="32"/>
          <w:szCs w:val="32"/>
        </w:rPr>
        <w:t xml:space="preserve">📌 채권법 &gt; 채권양도 &gt; 제3자 대항요건</w:t>
      </w:r>
    </w:p>
    <w:p>
      <w:pPr>
        <w:pBdr>
          <w:bottom w:val="single" w:color="CCCCCC" w:sz="4" w:space="4"/>
        </w:pBdr>
        <w:spacing w:after="80" w:before="40"/>
      </w:pPr>
      <w:r>
        <w:rPr>
          <w:rFonts w:ascii="맑은 고딕" w:cs="맑은 고딕" w:eastAsia="맑은 고딕" w:hAnsi="맑은 고딕"/>
          <w:b/>
          <w:bCs/>
          <w:color w:val="555555"/>
          <w:sz w:val="40"/>
          <w:szCs w:val="40"/>
        </w:rPr>
        <w:t xml:space="preserve">채권양도 — 제3자 대항요건 (제450조 제2항)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56"/>
                <w:szCs w:val="56"/>
              </w:rPr>
              <w:t xml:space="preserve">대·통·후·발·기·전·위·험</w:t>
            </w:r>
            <w:r>
              <w:rPr>
                <w:rFonts w:ascii="맑은 고딕" w:cs="맑은 고딕" w:eastAsia="맑은 고딕" w:hAnsi="맑은 고딕"/>
                <w:color w:val="555555"/>
                <w:sz w:val="38"/>
                <w:szCs w:val="38"/>
              </w:rPr>
              <w:t xml:space="preserve">  →  통지후 대항사유라도 기초관계가 통지전 존재 → 위험내재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4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'대항사유 자체는 채권양도의 통지 후에 생겼더라도 그 사유 발생의 기초가 되는 법률관계가 통지 전에 이미 존재하였다면 이는 계약 자체에 처음부터 내재하는 고유한 위험이라고 볼 수 있으므로 대항할 수 있다'(대.통.후.발.기.전.위.험)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'제450조 2항의 제3자란 채권에 관하여 양수인의 지위와 양립할 수 없는 법률상의 지위를 취득한 자를 말한다'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0D47A1" w:sz="14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'제450조 2항이 정하는 지명채권 양도의 제3자에 대한 대항요건은 양도된 채권이 존속하는 동안에 그 채권에 대하여 양수인의 지위와 양립할 수 없는 법률상의 지위를 취득한 제3자가 있는 경우에 적용되므로, 양도된 채권이 소멸한 후에는 적용되지 않는다'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11111"/>
                <w:sz w:val="44"/>
                <w:szCs w:val="44"/>
              </w:rPr>
              <w:t xml:space="preserve">확정일자 도달시 기준: 도달시설 / 양수채권액 안분설</w:t>
            </w:r>
          </w:p>
        </w:tc>
      </w:tr>
    </w:tbl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560"/>
            </w:pPr>
          </w:p>
        </w:tc>
      </w:tr>
    </w:tbl>
    <w:sectPr>
      <w:pgSz w:w="11906" w:h="16838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2026-05-29T13:07:32.910Z</dcterms:created>
  <dcterms:modified xsi:type="dcterms:W3CDTF">2026-05-29T13:07:32.911Z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