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민법 암기 노트  </w:t>
      </w:r>
      <w:r>
        <w:rPr>
          <w:rFonts w:ascii="맑은 고딕" w:cs="맑은 고딕" w:eastAsia="맑은 고딕" w:hAnsi="맑은 고딕"/>
          <w:color w:val="888888"/>
          <w:sz w:val="24"/>
          <w:szCs w:val="24"/>
        </w:rPr>
        <w:t xml:space="preserve">05.25</w:t>
      </w: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제1장 법원(法源)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관습법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관습법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관행, 법적확신, 정당성과 합리성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종중: 자연발생적인 종족 집단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제2장 신의성실원칙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권리남용의 원칙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권리남용의 원칙: 객관적 요건(권리의 존재 및 행사, 실질적인 사회질서 위반. &gt; 이익형량, 전략적 행동의 유무, 귀책성 종합 고려(이.전.귀)) + 주관적 요건(상대방에게 고통을 주고 손해를 입히려는 목적, 가해의사. 주관적 요건은 권리자의 정당한 이익 결여라는 객관적 요건에 의해 추인될 수 있다)</w:t>
      </w:r>
    </w:p>
    <w:p>
      <w:pPr>
        <w:shd w:fill="FFF3CD" w:val="clear"/>
        <w:spacing w:after="80" w:before="80"/>
        <w:ind w:left="200"/>
      </w:pPr>
      <w:r>
        <w:rPr>
          <w:rFonts w:ascii="맑은 고딕" w:cs="맑은 고딕" w:eastAsia="맑은 고딕" w:hAnsi="맑은 고딕"/>
          <w:b/>
          <w:bCs/>
          <w:color w:val="C8640A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7B3F00"/>
          <w:sz w:val="20"/>
          <w:szCs w:val="20"/>
        </w:rPr>
        <w:t xml:space="preserve">이.전.귀  (이익형량 · 전략적행동 · 귀책성)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제2장 신의성실원칙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실효의 원칙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실효의 원칙: 상당 기간 권리 불행사 + 상대방의 신뢰 + 새삼 권리 행사 기대불가능 + 헹사제한 (상.신.기행.)</w:t>
      </w:r>
    </w:p>
    <w:p>
      <w:pPr>
        <w:shd w:fill="FFF3CD" w:val="clear"/>
        <w:spacing w:after="80" w:before="80"/>
        <w:ind w:left="200"/>
      </w:pPr>
      <w:r>
        <w:rPr>
          <w:rFonts w:ascii="맑은 고딕" w:cs="맑은 고딕" w:eastAsia="맑은 고딕" w:hAnsi="맑은 고딕"/>
          <w:b/>
          <w:bCs/>
          <w:color w:val="C8640A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7B3F00"/>
          <w:sz w:val="20"/>
          <w:szCs w:val="20"/>
        </w:rPr>
        <w:t xml:space="preserve">상.신.기행.  (상당기간 · 신뢰 · 기대불가능 · 행사제한)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제2장 신의성실원칙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사정변경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사정변경 객관적 사정 +현저히 변경 + 당초의 내용대로 강제하는 것이 명백하게 부당 + 수정or 불가능한 경우 해소(객.현.명.수.해)</w:t>
      </w:r>
    </w:p>
    <w:p>
      <w:pPr>
        <w:shd w:fill="FFF3CD" w:val="clear"/>
        <w:spacing w:after="80" w:before="80"/>
        <w:ind w:left="200"/>
      </w:pPr>
      <w:r>
        <w:rPr>
          <w:rFonts w:ascii="맑은 고딕" w:cs="맑은 고딕" w:eastAsia="맑은 고딕" w:hAnsi="맑은 고딕"/>
          <w:b/>
          <w:bCs/>
          <w:color w:val="C8640A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7B3F00"/>
          <w:sz w:val="20"/>
          <w:szCs w:val="20"/>
        </w:rPr>
        <w:t xml:space="preserve">객.현.명.수.해  (객관적사정 · 현저히변경 · 명백히부당 · 수정 · 해소)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제2장 신의성실원칙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모순행위금지(금반언) / 신의칙 한계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모순행위금지(금반언)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신의칙의 적용으로 강행법규의 입법취지를 완적히 몰각시키는 경우 신의칙의 적용은 허용되지 않는다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합법성의 원칙은 신의성실의 원칙보다 우월한 것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제4장 법률행위 &gt; 반사회질서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부동산 이중매매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부동산 이중매매는 계약자유의 원칙에 비추어 유효함이 원칙이나 제2매수인이 매도인의 배임행위에 적극 가담한 경우에는 정의관념에 반하는 행위로서 반사회질서 행위로서 무효가 된다.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물권법 &gt; 점유취득시효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분필되지 않은 1필 토지의 취득시효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분필되지 않은 1필의 토지에 대해서도 그 부분이 다른 부분과 구분되어, 시효취득자의 점유하에 속한다는 것을 인식하기에 충분한 징표가 있고, 그 징표가 계속하여 존속한다면 취득시효가 인정된다(구.징.계)</w:t>
      </w:r>
    </w:p>
    <w:p>
      <w:pPr>
        <w:shd w:fill="FFF3CD" w:val="clear"/>
        <w:spacing w:after="80" w:before="80"/>
        <w:ind w:left="200"/>
      </w:pPr>
      <w:r>
        <w:rPr>
          <w:rFonts w:ascii="맑은 고딕" w:cs="맑은 고딕" w:eastAsia="맑은 고딕" w:hAnsi="맑은 고딕"/>
          <w:b/>
          <w:bCs/>
          <w:color w:val="C8640A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7B3F00"/>
          <w:sz w:val="20"/>
          <w:szCs w:val="20"/>
        </w:rPr>
        <w:t xml:space="preserve">구.징.계  (구분 · 징표 · 계속존속)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제3장 권리의 주체 &gt; 자연인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태아</w:t>
      </w:r>
    </w:p>
    <w:p>
      <w:pPr>
        <w:shd w:fill="E8F5E9" w:val="clear"/>
        <w:spacing w:after="80" w:before="160"/>
        <w:ind w:left="200"/>
      </w:pPr>
      <w:r>
        <w:rPr>
          <w:rFonts w:ascii="맑은 고딕" w:cs="맑은 고딕" w:eastAsia="맑은 고딕" w:hAnsi="맑은 고딕"/>
          <w:b/>
          <w:bCs/>
          <w:color w:val="1B5E20"/>
          <w:sz w:val="22"/>
          <w:szCs w:val="22"/>
        </w:rPr>
        <w:t xml:space="preserve">*태아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불.상.유.인. 사x (불법행위, 상속, 유증, 인지 O 사인증여X 계약이라서)</w:t>
      </w:r>
    </w:p>
    <w:p>
      <w:pPr>
        <w:shd w:fill="FFF3CD" w:val="clear"/>
        <w:spacing w:after="80" w:before="80"/>
        <w:ind w:left="200"/>
      </w:pPr>
      <w:r>
        <w:rPr>
          <w:rFonts w:ascii="맑은 고딕" w:cs="맑은 고딕" w:eastAsia="맑은 고딕" w:hAnsi="맑은 고딕"/>
          <w:b/>
          <w:bCs/>
          <w:color w:val="C8640A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7B3F00"/>
          <w:sz w:val="20"/>
          <w:szCs w:val="20"/>
        </w:rPr>
        <w:t xml:space="preserve">불.상.유.인.  (불법행위 · 상속 · 유증 · 인지  ※ 사인증여 X)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정지조건설과 해제조건설이 대립하나 판례는 특정한 권리에 있어서 태아가 권리를 취득한다고 하더라도 현행법상 이를 대행할 기관이 없어 태아로 있는 동안은 권리능력을 취득할 수 없다고 하여 정지조건설.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제3장 권리의 주체 &gt; 자연인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의사무능력자</w:t>
      </w:r>
    </w:p>
    <w:p>
      <w:pPr>
        <w:shd w:fill="E8F5E9" w:val="clear"/>
        <w:spacing w:after="80" w:before="160"/>
        <w:ind w:left="200"/>
      </w:pPr>
      <w:r>
        <w:rPr>
          <w:rFonts w:ascii="맑은 고딕" w:cs="맑은 고딕" w:eastAsia="맑은 고딕" w:hAnsi="맑은 고딕"/>
          <w:b/>
          <w:bCs/>
          <w:color w:val="1B5E20"/>
          <w:sz w:val="22"/>
          <w:szCs w:val="22"/>
        </w:rPr>
        <w:t xml:space="preserve">*의사무능력자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구체적, 개별적으로 판단. 행위의 일상적인 의미뿐만 아니라 법률적인 의미나 효과에 대하여도 이해할 수 있을 것을 요한다.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의사무능력자의 법률행위는 무효이고, 제141조 단서는 유추적용된다.</w:t>
      </w:r>
    </w:p>
    <w:p>
      <w:pPr>
        <w:pBdr>
          <w:bottom w:val="single" w:color="CCCCCC" w:sz="2"/>
        </w:pBdr>
        <w:spacing w:after="40" w:before="160"/>
      </w:pPr>
    </w:p>
    <w:p>
      <w:pPr>
        <w:shd w:fill="1F3864" w:val="clear"/>
        <w:spacing w:after="0" w:before="360"/>
      </w:pPr>
      <w:r>
        <w:rPr>
          <w:rFonts w:ascii="맑은 고딕" w:cs="맑은 고딕" w:eastAsia="맑은 고딕" w:hAnsi="맑은 고딕"/>
          <w:color w:val="AABBD4"/>
          <w:sz w:val="16"/>
          <w:szCs w:val="16"/>
        </w:rPr>
        <w:t xml:space="preserve">민법총칙 &gt; 제3장 권리의 주체 &gt; 제한능력자</w:t>
      </w:r>
    </w:p>
    <w:p>
      <w:pPr>
        <w:pBdr>
          <w:bottom w:val="single" w:color="4FC3F7" w:sz="4"/>
        </w:pBdr>
        <w:shd w:fill="2E4B7A" w:val="clear"/>
        <w:spacing w:after="120" w:before="0"/>
      </w:pPr>
      <w:r>
        <w:rPr>
          <w:rFonts w:ascii="맑은 고딕" w:cs="맑은 고딕" w:eastAsia="맑은 고딕" w:hAnsi="맑은 고딕"/>
          <w:b/>
          <w:bCs/>
          <w:color w:val="FFFFFF"/>
          <w:sz w:val="24"/>
          <w:szCs w:val="24"/>
        </w:rPr>
        <w:t xml:space="preserve">미성년자</w:t>
      </w:r>
    </w:p>
    <w:p>
      <w:pPr>
        <w:shd w:fill="E8F5E9" w:val="clear"/>
        <w:spacing w:after="80" w:before="160"/>
        <w:ind w:left="200"/>
      </w:pPr>
      <w:r>
        <w:rPr>
          <w:rFonts w:ascii="맑은 고딕" w:cs="맑은 고딕" w:eastAsia="맑은 고딕" w:hAnsi="맑은 고딕"/>
          <w:b/>
          <w:bCs/>
          <w:color w:val="1B5E20"/>
          <w:sz w:val="22"/>
          <w:szCs w:val="22"/>
        </w:rPr>
        <w:t xml:space="preserve">+제한능력자</w:t>
      </w:r>
    </w:p>
    <w:p>
      <w:pPr>
        <w:pBdr>
          <w:left w:val="single" w:color="2196F3" w:sz="8"/>
        </w:pBdr>
        <w:shd w:fill="EBF5FB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1A5276"/>
          <w:sz w:val="20"/>
          <w:szCs w:val="20"/>
        </w:rPr>
        <w:t xml:space="preserve">'제한능력자제도는 거래의 안전을 희생시키는 것을 감수하면서 제한능력자 본인을 보호하는 데 그 목적을 두고 있는 강행규정으로서 이에 반하는 계약은 효력이 없다. '</w:t>
      </w:r>
    </w:p>
    <w:p>
      <w:pPr>
        <w:pBdr>
          <w:left w:val="single" w:color="2196F3" w:sz="8"/>
        </w:pBdr>
        <w:shd w:fill="EBF5FB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1A5276"/>
          <w:sz w:val="20"/>
          <w:szCs w:val="20"/>
        </w:rPr>
        <w:t xml:space="preserve">'미성년자가 법률행위를 함에는 법정대리인의 동의를 얻어야 하는바(제5조 1항 본문) 이는 묵시적으로도 가능하나, 미성년자가 동의를 얻지 않고 한 행위는 미성년자 본인 또는 법정대리인이 취소할 수 있다'</w:t>
      </w:r>
    </w:p>
    <w:p>
      <w:pPr>
        <w:pBdr>
          <w:left w:val="single" w:color="2196F3" w:sz="8"/>
        </w:pBdr>
        <w:shd w:fill="EBF5FB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1A5276"/>
          <w:sz w:val="20"/>
          <w:szCs w:val="20"/>
        </w:rPr>
        <w:t xml:space="preserve">'묵시적 동의 유무는 1)미성년자의 독자적인 소득의 범위, 2)계약의 내용 등을 고려한다'</w:t>
      </w:r>
    </w:p>
    <w:p>
      <w:pPr>
        <w:spacing w:after="60" w:before="60"/>
        <w:ind w:left="2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미성년자가 신용카드 이용계약을 취소한 경우 매매계약은 유효하게 존속, 반환하여야 할 대상은 면제받은 물품대금채무 상당액</w:t>
      </w:r>
    </w:p>
    <w:p>
      <w:pPr>
        <w:pBdr>
          <w:left w:val="single" w:color="2196F3" w:sz="8"/>
        </w:pBdr>
        <w:shd w:fill="EBF5FB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1A5276"/>
          <w:sz w:val="20"/>
          <w:szCs w:val="20"/>
        </w:rPr>
        <w:t xml:space="preserve">'법정대리의 경우는 원칙적으로 대리권의 범위에 제한이 없다(제920조).'</w:t>
      </w:r>
    </w:p>
    <w:p>
      <w:pPr>
        <w:pBdr>
          <w:left w:val="single" w:color="2196F3" w:sz="8"/>
        </w:pBdr>
        <w:shd w:fill="EBF5FB" w:val="clear"/>
        <w:spacing w:after="80" w:before="80"/>
        <w:ind w:left="200"/>
      </w:pPr>
      <w:r>
        <w:rPr>
          <w:rFonts w:ascii="맑은 고딕" w:cs="맑은 고딕" w:eastAsia="맑은 고딕" w:hAnsi="맑은 고딕"/>
          <w:color w:val="1A5276"/>
          <w:sz w:val="20"/>
          <w:szCs w:val="20"/>
        </w:rPr>
        <w:t xml:space="preserve">'행위의 객관적 성질상 친권자와 자 사이에 이해의 대립이 생길 우려가 있는 행위를 의미하며 친권자의 의도나 실질적으로 이해의 대립이 생겼는가는 묻지 않는다고 하여 형식적 판단설의 입장이다'(객.이.의.실.형)</w:t>
      </w:r>
    </w:p>
    <w:p>
      <w:pPr>
        <w:shd w:fill="FFF3CD" w:val="clear"/>
        <w:spacing w:after="80" w:before="80"/>
        <w:ind w:left="200"/>
      </w:pPr>
      <w:r>
        <w:rPr>
          <w:rFonts w:ascii="맑은 고딕" w:cs="맑은 고딕" w:eastAsia="맑은 고딕" w:hAnsi="맑은 고딕"/>
          <w:b/>
          <w:bCs/>
          <w:color w:val="C8640A"/>
          <w:sz w:val="20"/>
          <w:szCs w:val="20"/>
        </w:rPr>
        <w:t xml:space="preserve">▶ </w:t>
      </w:r>
      <w:r>
        <w:rPr>
          <w:rFonts w:ascii="맑은 고딕" w:cs="맑은 고딕" w:eastAsia="맑은 고딕" w:hAnsi="맑은 고딕"/>
          <w:b/>
          <w:bCs/>
          <w:color w:val="7B3F00"/>
          <w:sz w:val="20"/>
          <w:szCs w:val="20"/>
        </w:rPr>
        <w:t xml:space="preserve">객.이.의.실.형  (객관적성질 · 이해대립우려 · 의도불문 · 실질불문 · 형식적판단설)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2026-05-25T12:13:39.173Z</dcterms:created>
  <dcterms:modified xsi:type="dcterms:W3CDTF">2026-05-25T12:13:39.173Z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