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left"/>
      </w:pPr>
      <w:r>
        <w:rPr>
          <w:rFonts w:ascii="맑은 고딕" w:cs="맑은 고딕" w:eastAsia="맑은 고딕" w:hAnsi="맑은 고딕"/>
          <w:b w:val="false"/>
          <w:bCs w:val="false"/>
          <w:i w:val="false"/>
          <w:iCs w:val="false"/>
          <w:color w:val="000000"/>
          <w:sz w:val="20"/>
          <w:szCs w:val="20"/>
        </w:rPr>
        <w:t xml:space="preserve"> </w:t>
      </w:r>
    </w:p>
    <w:p>
      <w:pPr>
        <w:spacing w:after="120" w:before="600"/>
        <w:jc w:val="center"/>
      </w:pPr>
      <w:r>
        <w:rPr>
          <w:rFonts w:ascii="맑은 고딕" w:cs="맑은 고딕" w:eastAsia="맑은 고딕" w:hAnsi="맑은 고딕"/>
          <w:b/>
          <w:bCs/>
          <w:i w:val="false"/>
          <w:iCs w:val="false"/>
          <w:color w:val="1B2631"/>
          <w:sz w:val="40"/>
          <w:szCs w:val="40"/>
        </w:rPr>
        <w:t xml:space="preserve">민사기록형 첨삭 결과지</w:t>
      </w:r>
    </w:p>
    <w:p>
      <w:pPr>
        <w:spacing w:after="60" w:before="0"/>
        <w:jc w:val="center"/>
      </w:pPr>
      <w:r>
        <w:rPr>
          <w:rFonts w:ascii="맑은 고딕" w:cs="맑은 고딕" w:eastAsia="맑은 고딕" w:hAnsi="맑은 고딕"/>
          <w:b w:val="false"/>
          <w:bCs w:val="false"/>
          <w:i w:val="false"/>
          <w:iCs w:val="false"/>
          <w:color w:val="555555"/>
          <w:sz w:val="28"/>
          <w:szCs w:val="28"/>
        </w:rPr>
        <w:t xml:space="preserve">제12회 변호사시험 (2023년도)</w:t>
      </w:r>
    </w:p>
    <w:p>
      <w:pPr>
        <w:spacing w:after="400" w:before="0"/>
        <w:jc w:val="center"/>
      </w:pPr>
      <w:r>
        <w:rPr>
          <w:rFonts w:ascii="맑은 고딕" w:cs="맑은 고딕" w:eastAsia="맑은 고딕" w:hAnsi="맑은 고딕"/>
          <w:b w:val="false"/>
          <w:bCs w:val="false"/>
          <w:i w:val="false"/>
          <w:iCs w:val="false"/>
          <w:color w:val="555555"/>
          <w:sz w:val="22"/>
          <w:szCs w:val="22"/>
        </w:rPr>
        <w:t xml:space="preserve">2026. 05. 13.</w:t>
      </w:r>
    </w:p>
    <w:p>
      <w:pPr>
        <w:pBdr>
          <w:bottom w:val="single" w:color="1B2631" w:sz="4"/>
        </w:pBdr>
        <w:spacing w:after="0" w:before="0"/>
      </w:pPr>
    </w:p>
    <w:p>
      <w:pPr>
        <w:spacing w:after="20" w:before="20"/>
        <w:jc w:val="left"/>
      </w:pPr>
      <w:r>
        <w:rPr>
          <w:rFonts w:ascii="맑은 고딕" w:cs="맑은 고딕" w:eastAsia="맑은 고딕" w:hAnsi="맑은 고딕"/>
          <w:b w:val="false"/>
          <w:bCs w:val="false"/>
          <w:i w:val="false"/>
          <w:iCs w:val="false"/>
          <w:color w:val="000000"/>
          <w:sz w:val="20"/>
          <w:szCs w:val="20"/>
        </w:rPr>
        <w:t xml:space="preserve"> </w:t>
      </w:r>
    </w:p>
    <w:p>
      <w:pPr>
        <w:shd w:fill="1B2631" w:val="clear"/>
        <w:spacing w:after="100" w:before="200"/>
        <w:ind w:left="120"/>
      </w:pPr>
      <w:r>
        <w:rPr>
          <w:rFonts w:ascii="맑은 고딕" w:cs="맑은 고딕" w:eastAsia="맑은 고딕" w:hAnsi="맑은 고딕"/>
          <w:b/>
          <w:bCs/>
          <w:color w:val="FFFFFF"/>
          <w:sz w:val="26"/>
          <w:szCs w:val="26"/>
        </w:rPr>
        <w:t xml:space="preserve">【0】 답안 기본 정보</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항목</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내용</w:t>
            </w:r>
          </w:p>
        </w:tc>
      </w:tr>
      <w:tr>
        <w:tc>
          <w:tcPr>
            <w:tcW w:type="auto" w:w="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시험 회차</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제12회 변호사시험 (2023년도)</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문제 유형</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소장</w:t>
            </w:r>
          </w:p>
        </w:tc>
      </w:tr>
      <w:tr>
        <w:tc>
          <w:tcPr>
            <w:tcW w:type="auto" w:w="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주요 청구</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①취득시효 채권자대위(이민국)  ②무효등기말소 채권자대위(정진선·기쁨은행·박성연)  ③양수금(주진희)  ④사해행위취소(박이채·최상진)  ⑤임대차 상환이행(김영철)</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예상 득점</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(추정) 70 / 175점  (약 40%) — 합격권 87.5점 미달</w:t>
            </w:r>
          </w:p>
        </w:tc>
      </w:tr>
      <w:tr>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평가 등급</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C — 전면 재작성 필요</w:t>
            </w:r>
          </w:p>
        </w:tc>
      </w:tr>
    </w:tbl>
    <w:p>
      <w:pPr>
        <w:spacing w:after="10" w:before="10"/>
        <w:jc w:val="left"/>
      </w:pPr>
      <w:r>
        <w:rPr>
          <w:rFonts w:ascii="맑은 고딕" w:cs="맑은 고딕" w:eastAsia="맑은 고딕" w:hAnsi="맑은 고딕"/>
          <w:b w:val="false"/>
          <w:bCs w:val="false"/>
          <w:i w:val="false"/>
          <w:iCs w:val="false"/>
          <w:color w:val="000000"/>
          <w:sz w:val="20"/>
          <w:szCs w:val="20"/>
        </w:rPr>
        <w:t xml:space="preserve"> </w:t>
      </w:r>
    </w:p>
    <w:p>
      <w:pPr>
        <w:shd w:fill="1B2631" w:val="clear"/>
        <w:spacing w:after="100" w:before="200"/>
        <w:ind w:left="120"/>
      </w:pPr>
      <w:r>
        <w:rPr>
          <w:rFonts w:ascii="맑은 고딕" w:cs="맑은 고딕" w:eastAsia="맑은 고딕" w:hAnsi="맑은 고딕"/>
          <w:b/>
          <w:bCs/>
          <w:color w:val="FFFFFF"/>
          <w:sz w:val="26"/>
          <w:szCs w:val="26"/>
        </w:rPr>
        <w:t xml:space="preserve">【1】 형식 검토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5206"/>
      </w:tblGrid>
      <w:tr>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항목</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판정</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비고</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사건명</w:t>
            </w:r>
          </w:p>
        </w:tc>
        <w:tc>
          <w:tcPr>
            <w:tcW w:type="auto" w:w="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소유권이전등기 등 청구의 소</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원고 표시</w:t>
            </w:r>
          </w:p>
        </w:tc>
        <w:tc>
          <w:tcPr>
            <w:tcW w:type="auto" w:w="0"/>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E67E22"/>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생년월일·연락처 기재 여부 확인 필요</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피고 표시</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피고 1~3 번호 없음 / 유덕희·김민경·김준용은 소외인이어야 함</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청구취지 구조</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채권자대위 이행방향·내용 오류 — 상세는 【2】참조</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가집행 선고 신청</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전면 누락 (주진희·김영철 청구에 필수)</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소송비용 부담</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전면 누락</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관할법원</w:t>
            </w:r>
          </w:p>
        </w:tc>
        <w:tc>
          <w:tcPr>
            <w:tcW w:type="auto" w:w="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서울중앙지방법원 귀중</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첨부서류</w:t>
            </w:r>
          </w:p>
        </w:tc>
        <w:tc>
          <w:tcPr>
            <w:tcW w:type="auto" w:w="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(생략) 기재</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작성일·날인란</w:t>
            </w:r>
          </w:p>
        </w:tc>
        <w:tc>
          <w:tcPr>
            <w:tcW w:type="auto" w:w="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2023. 1. 13. / 변호사 신영민 (인)</w:t>
            </w:r>
          </w:p>
        </w:tc>
      </w:tr>
    </w:tbl>
    <w:p>
      <w:pPr>
        <w:spacing w:after="10" w:before="10"/>
        <w:jc w:val="left"/>
      </w:pPr>
      <w:r>
        <w:rPr>
          <w:rFonts w:ascii="맑은 고딕" w:cs="맑은 고딕" w:eastAsia="맑은 고딕" w:hAnsi="맑은 고딕"/>
          <w:b w:val="false"/>
          <w:bCs w:val="false"/>
          <w:i w:val="false"/>
          <w:iCs w:val="false"/>
          <w:color w:val="000000"/>
          <w:sz w:val="20"/>
          <w:szCs w:val="20"/>
        </w:rPr>
        <w:t xml:space="preserve"> </w:t>
      </w:r>
    </w:p>
    <w:p>
      <w:pPr>
        <w:shd w:fill="8B0000" w:val="clear"/>
        <w:spacing w:after="100" w:before="200"/>
        <w:ind w:left="120"/>
      </w:pPr>
      <w:r>
        <w:rPr>
          <w:rFonts w:ascii="맑은 고딕" w:cs="맑은 고딕" w:eastAsia="맑은 고딕" w:hAnsi="맑은 고딕"/>
          <w:b/>
          <w:bCs/>
          <w:color w:val="FFFFFF"/>
          <w:sz w:val="26"/>
          <w:szCs w:val="26"/>
        </w:rPr>
        <w:t xml:space="preserve">【2】 청구취지 정밀 분석  ★ 무관용 원칙 ★</w:t>
      </w:r>
    </w:p>
    <w:p>
      <w:pPr>
        <w:spacing w:after="60" w:before="60"/>
        <w:jc w:val="left"/>
      </w:pPr>
      <w:r>
        <w:rPr>
          <w:rFonts w:ascii="맑은 고딕" w:cs="맑은 고딕" w:eastAsia="맑은 고딕" w:hAnsi="맑은 고딕"/>
          <w:b w:val="false"/>
          <w:bCs w:val="false"/>
          <w:i/>
          <w:iCs/>
          <w:color w:val="C0392B"/>
          <w:sz w:val="18"/>
          <w:szCs w:val="18"/>
        </w:rPr>
        <w:t xml:space="preserve">※ 빨간 박스 = 오류  /  초록 박스 = 모범답안  /  비교표에서 붉은 셀 = 틀린 문언</w:t>
      </w:r>
    </w:p>
    <w:p>
      <w:pPr>
        <w:spacing w:after="4" w:before="4"/>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① 이민국 → 취득시효 완성을 원인으로 한 소유권이전등기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세직 기재 (오류)</w:t>
            </w:r>
          </w:p>
        </w:tc>
        <w:tc>
          <w:tcPr>
            <w:tcBorders>
              <w:top w:val="single" w:color="BBBBBB" w:sz="1"/>
              <w:left w:val="single" w:color="BBBBBB" w:sz="1"/>
              <w:bottom w:val="single" w:color="BBBBBB" w:sz="1"/>
              <w:right w:val="single" w:color="BBBBBB" w:sz="1"/>
            </w:tcBorders>
            <w:shd w:fill="1A7A4A"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모범답안</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8"/>
                <w:szCs w:val="18"/>
              </w:rPr>
              <w:t xml:space="preserve">피고 이민국은 피고들 유덕희에게 3/7 지분 범위 내에서, 김민경에게 2/7의 지분 범위 내에서, 김준용에게 2/7의 지분 범위 내에서, 각 위 별지목록 기재 제1항 임야에 관하여 2020. 2. 1. 취득시효 완성을 원인으로 한 소유권이전등기 절차를 이행하라.</w:t>
            </w:r>
          </w:p>
        </w:tc>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8"/>
                <w:szCs w:val="18"/>
              </w:rPr>
              <w:t xml:space="preserve">피고 이민국은, 별지 목록 제1. 기재 부동산 중,
가. 소외 유덕희[701114-2******, 서울 양천구 목동동로 100, 101동 501호]에게 3/7 지분에 관하여,
나. 소외 김민경[980719-2******, 서울 양천구 목동동로 100, 101동 501호], 소외 김준용[011018-3******, 서울 양천구 목동동로 100, 101동 501호]에게 각 2/7 지분에 관하여,
각 2020. 2. 1. 취득시효완성을 원인으로 한 소유권이전등기절차를 이행하라.</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주요 오류</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유덕희·김민경·김준용: 피고(×) → 소외(○)   채권자대위소송에서 이들은 채무자이므로 소외인으로 기재해야 함</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생년월일 미기재 (기록상 기재된 경우 필수)</w:t>
            </w:r>
          </w:p>
          <w:p>
            <w:pPr>
              <w:spacing w:after="60" w:before="60"/>
              <w:jc w:val="left"/>
            </w:pPr>
            <w:r>
              <w:rPr>
                <w:rFonts w:ascii="맑은 고딕" w:cs="맑은 고딕" w:eastAsia="맑은 고딕" w:hAnsi="맑은 고딕"/>
                <w:b w:val="false"/>
                <w:bCs w:val="false"/>
                <w:i w:val="false"/>
                <w:iCs w:val="false"/>
                <w:color w:val="E67E22"/>
                <w:sz w:val="19"/>
                <w:szCs w:val="19"/>
              </w:rPr>
              <w:t xml:space="preserve">• 모범답안 청구취지 순서: 이민국 취득시효 이전등기가 1번 (세직은 '라'번으로 기재)</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② 정진선 → 소유권이전등기 말소</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세직 기재 (오류)</w:t>
            </w:r>
          </w:p>
        </w:tc>
        <w:tc>
          <w:tcPr>
            <w:tcBorders>
              <w:top w:val="single" w:color="BBBBBB" w:sz="1"/>
              <w:left w:val="single" w:color="BBBBBB" w:sz="1"/>
              <w:bottom w:val="single" w:color="BBBBBB" w:sz="1"/>
              <w:right w:val="single" w:color="BBBBBB" w:sz="1"/>
            </w:tcBorders>
            <w:shd w:fill="1A7A4A"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모범답안</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8"/>
                <w:szCs w:val="18"/>
              </w:rPr>
              <w:t xml:space="preserve">피고 정진선은 원고에게 별지목록 기재 제1항 임야에 관하여 2020.5.20.자 매매를 원인으로 경료된 2020.5.21.자 제3975호 소유권이전등기를 말소하라.</w:t>
            </w:r>
          </w:p>
        </w:tc>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8"/>
                <w:szCs w:val="18"/>
              </w:rPr>
              <w:t xml:space="preserve">피고 이민국에게,
가. 피고 정진선은 별지 목록 제1. 기재 부동산에 관하여 의정부지방법원 남양주지원 가평등기소 2020. 5. 21. 접수 제3975호로 마친 소유권이전등기의 말소등기절차를 이행하고,</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오류 — 단, 2024년 대법원 판결 관련 주의사항 있음</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[문언 오류] '원고에게 말소하라' → 말소등기는 특정인에게 이전되는 것이 아니므로 '원고에게'라는 수익자 표시 자체가 부정확</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[구조 오류] 채권자대위소송임을 청구취지에 명시해야 함 → '피고 이민국에게' 방식이 구조를 정확히 표현</w:t>
            </w:r>
          </w:p>
          <w:p>
            <w:pPr>
              <w:spacing w:after="60" w:before="60"/>
              <w:jc w:val="left"/>
            </w:pPr>
            <w:r>
              <w:rPr>
                <w:rFonts w:ascii="맑은 고딕" w:cs="맑은 고딕" w:eastAsia="맑은 고딕" w:hAnsi="맑은 고딕"/>
                <w:b w:val="false"/>
                <w:bCs w:val="false"/>
                <w:i w:val="false"/>
                <w:iCs w:val="false"/>
                <w:color w:val="E67E22"/>
                <w:sz w:val="18"/>
                <w:szCs w:val="18"/>
              </w:rPr>
              <w:t xml:space="preserve">★ 참고 — 대법원 2024. 3. 12. 선고 2023다301682 판결: 채권자대위소송에서 말소등기는 채권자가 직접 구하는 것도 허용됨. 단, 12회 시험(2023. 1.) 당시에는 이 판결이 없었으므로 모범답안 방식(이민국에게)이 안전함. '원고에게' 문언 자체는 여전히 부정확.</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③ 기쁨저축은행 → 근저당권설정등기 말소</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세직 기재 (오류)</w:t>
            </w:r>
          </w:p>
        </w:tc>
        <w:tc>
          <w:tcPr>
            <w:tcBorders>
              <w:top w:val="single" w:color="BBBBBB" w:sz="1"/>
              <w:left w:val="single" w:color="BBBBBB" w:sz="1"/>
              <w:bottom w:val="single" w:color="BBBBBB" w:sz="1"/>
              <w:right w:val="single" w:color="BBBBBB" w:sz="1"/>
            </w:tcBorders>
            <w:shd w:fill="1A7A4A"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모범답안</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8"/>
                <w:szCs w:val="18"/>
              </w:rPr>
              <w:t xml:space="preserve">피고 기쁨은행은 원고에게 위 별지목록 기재 제1항 임야에 관한 2020. 5. 21.자 제3976호 접수 2020.5.21. 설정계약을 원인으로 한 근저당권설정등기의 말소 절차를 이행하라.</w:t>
            </w:r>
          </w:p>
        </w:tc>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8"/>
                <w:szCs w:val="18"/>
              </w:rPr>
              <w:t xml:space="preserve">나. 피고 주식회사 기쁨저축은행은 별지 목록 제1. 기재 부동산에 관하여 같은 등기소 2020. 5. 21. 접수 제3976호로 마친 근저당권설정등기의 말소등기절차를 이행하고,</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오류 (② 정진선과 동일한 구조)</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'원고에게' 문언 부정확 (②항과 동일한 이유)</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채권자대위 구조 미표시 ('피고 이민국에게' 묶음 구조여야 함)</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④ 박성연 → 승낙의 의사표시  ★ 내용 자체 오류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세직 기재 (오류)</w:t>
            </w:r>
          </w:p>
        </w:tc>
        <w:tc>
          <w:tcPr>
            <w:tcBorders>
              <w:top w:val="single" w:color="BBBBBB" w:sz="1"/>
              <w:left w:val="single" w:color="BBBBBB" w:sz="1"/>
              <w:bottom w:val="single" w:color="BBBBBB" w:sz="1"/>
              <w:right w:val="single" w:color="BBBBBB" w:sz="1"/>
            </w:tcBorders>
            <w:shd w:fill="1A7A4A"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모범답안</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8"/>
                <w:szCs w:val="18"/>
              </w:rPr>
              <w:t xml:space="preserve">피고 박성연은 원고에게 위 별지목록 기재 제1항 임야에 관하여 2020. 7. 6. 서울중앙지방법원의 가압류결정(2020카단55908)을 원인으로 경료된 2020. 7. 7. 제9460호 접수 가압류의 해제를 승낙하는 의사표시를 하라.</w:t>
            </w:r>
          </w:p>
        </w:tc>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8"/>
                <w:szCs w:val="18"/>
              </w:rPr>
              <w:t xml:space="preserve">다. 피고 박성연은 위 가.항 기재 소유권이전등기의 말소등기에 대하여 승낙의 의사표시를 하라.</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핵심 내용 오류 — 방향 이슈가 아니라 청구 내용 자체가 다름</w:t>
            </w:r>
          </w:p>
          <w:p>
            <w:pPr>
              <w:spacing w:after="60" w:before="60"/>
              <w:jc w:val="left"/>
            </w:pPr>
            <w:r>
              <w:rPr>
                <w:rFonts w:ascii="맑은 고딕" w:cs="맑은 고딕" w:eastAsia="맑은 고딕" w:hAnsi="맑은 고딕"/>
                <w:b/>
                <w:bCs/>
                <w:i w:val="false"/>
                <w:iCs w:val="false"/>
                <w:color w:val="C0392B"/>
                <w:sz w:val="19"/>
                <w:szCs w:val="19"/>
              </w:rPr>
              <w:t xml:space="preserve">• 세직 기재: '가압류의 해제를 승낙하는 의사표시'</w:t>
            </w:r>
          </w:p>
          <w:p>
            <w:pPr>
              <w:spacing w:after="60" w:before="60"/>
              <w:jc w:val="left"/>
            </w:pPr>
            <w:r>
              <w:rPr>
                <w:rFonts w:ascii="맑은 고딕" w:cs="맑은 고딕" w:eastAsia="맑은 고딕" w:hAnsi="맑은 고딕"/>
                <w:b/>
                <w:bCs/>
                <w:i w:val="false"/>
                <w:iCs w:val="false"/>
                <w:color w:val="1A7A4A"/>
                <w:sz w:val="19"/>
                <w:szCs w:val="19"/>
              </w:rPr>
              <w:t xml:space="preserve">• 모범답안: '소유권이전등기의 말소등기에 대하여 승낙의 의사표시'</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박성연은 정진선 명의 소유권이전등기 말소의 등기상 이해관계 있는 제3자(가압류권자)이므로, 구해야 할 것은 '말소등기에 대한 승낙'이지 '가압류 해제'가 아님</w:t>
            </w:r>
          </w:p>
          <w:p>
            <w:pPr>
              <w:spacing w:after="60" w:before="60"/>
              <w:jc w:val="left"/>
            </w:pPr>
            <w:r>
              <w:rPr>
                <w:rFonts w:ascii="맑은 고딕" w:cs="맑은 고딕" w:eastAsia="맑은 고딕" w:hAnsi="맑은 고딕"/>
                <w:b/>
                <w:bCs/>
                <w:i w:val="false"/>
                <w:iCs w:val="false"/>
                <w:color w:val="C0392B"/>
                <w:sz w:val="19"/>
                <w:szCs w:val="19"/>
              </w:rPr>
              <w:t xml:space="preserve">• 2024 판결과도 무관한 독립적 오류 — 완전 감점</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⑤ '마.'항 — 유덕희·김민경·김준용에게 원고에게 이전등기  ★ 모범답안에 없는 청구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모범답안에 없는 과잉 청구</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세직 기재: '원고에게... 피고 유덕희는 3/7... 소유권이전등기 절차를 이행하라'</w:t>
            </w:r>
          </w:p>
          <w:p>
            <w:pPr>
              <w:spacing w:after="60" w:before="60"/>
              <w:jc w:val="left"/>
            </w:pPr>
            <w:r>
              <w:rPr>
                <w:rFonts w:ascii="맑은 고딕" w:cs="맑은 고딕" w:eastAsia="맑은 고딕" w:hAnsi="맑은 고딕"/>
                <w:b w:val="false"/>
                <w:bCs w:val="false"/>
                <w:i w:val="false"/>
                <w:iCs w:val="false"/>
                <w:color w:val="E67E22"/>
                <w:sz w:val="19"/>
                <w:szCs w:val="19"/>
              </w:rPr>
              <w:t xml:space="preserve">• 채권자대위소송 구조에서 원고가 직접 유덕희 등에게 이전등기를 청구하는 항은 별도 구성이 가능하나, 모범답안이 이를 채택하지 않은 이유 검토 필요. 불필요한 분량 소모.</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⑥ 주진희 → 양수금  ★ 이율 오류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세직 기재 (오류)</w:t>
            </w:r>
          </w:p>
        </w:tc>
        <w:tc>
          <w:tcPr>
            <w:tcBorders>
              <w:top w:val="single" w:color="BBBBBB" w:sz="1"/>
              <w:left w:val="single" w:color="BBBBBB" w:sz="1"/>
              <w:bottom w:val="single" w:color="BBBBBB" w:sz="1"/>
              <w:right w:val="single" w:color="BBBBBB" w:sz="1"/>
            </w:tcBorders>
            <w:shd w:fill="1A7A4A"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모범답안</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8"/>
                <w:szCs w:val="18"/>
              </w:rPr>
              <w:t xml:space="preserve">피고 주진희는 원고에게 80,000,000원 및 이에 대한 2022. 10. 1.부터 이 사건 소장 송달일까지는 월 1%의, 그 다음날부터 다 갚는 날까지는 연 12%의 비율로 각 계산한 돈을 지급하라.</w:t>
            </w:r>
          </w:p>
        </w:tc>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8"/>
                <w:szCs w:val="18"/>
              </w:rPr>
              <w:t xml:space="preserve">피고 주진희는 원고에게 80,000,000원 및 이에 대한 2022. 10. 1.부터 다 갚는 날까지 월 1%의 비율로 계산한 돈을 지급하라.</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이율 오류 + 문언 오류</w:t>
            </w:r>
          </w:p>
          <w:p>
            <w:pPr>
              <w:spacing w:after="60" w:before="60"/>
              <w:jc w:val="left"/>
            </w:pPr>
            <w:r>
              <w:rPr>
                <w:rFonts w:ascii="맑은 고딕" w:cs="맑은 고딕" w:eastAsia="맑은 고딕" w:hAnsi="맑은 고딕"/>
                <w:b/>
                <w:bCs/>
                <w:i w:val="false"/>
                <w:iCs w:val="false"/>
                <w:color w:val="C0392B"/>
                <w:sz w:val="19"/>
                <w:szCs w:val="19"/>
              </w:rPr>
              <w:t xml:space="preserve">• 연 12% (소촉법) 기재 ❌ → 약정이율(월 1%)이 소촉법(연 12%)보다 높으므로 소장 부본 송달 후에도 월 1% 유지</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'소장 송달일' ❌ → '소장 부본 송달일'이 정확한 표현</w:t>
            </w:r>
          </w:p>
          <w:p>
            <w:pPr>
              <w:spacing w:after="60" w:before="60"/>
              <w:jc w:val="left"/>
            </w:pPr>
            <w:r>
              <w:rPr>
                <w:rFonts w:ascii="맑은 고딕" w:cs="맑은 고딕" w:eastAsia="맑은 고딕" w:hAnsi="맑은 고딕"/>
                <w:b w:val="false"/>
                <w:bCs w:val="false"/>
                <w:i w:val="false"/>
                <w:iCs w:val="false"/>
                <w:color w:val="1A7A4A"/>
                <w:sz w:val="19"/>
                <w:szCs w:val="19"/>
              </w:rPr>
              <w:t xml:space="preserve">• 금액(80,000,000원) 및 기산일(2022. 10. 1.)은 정확 ✅</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⑦ 사해행위취소 (박이채·최상진)  ★ 다중 오류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세직 기재 (오류)</w:t>
            </w:r>
          </w:p>
        </w:tc>
        <w:tc>
          <w:tcPr>
            <w:tcBorders>
              <w:top w:val="single" w:color="BBBBBB" w:sz="1"/>
              <w:left w:val="single" w:color="BBBBBB" w:sz="1"/>
              <w:bottom w:val="single" w:color="BBBBBB" w:sz="1"/>
              <w:right w:val="single" w:color="BBBBBB" w:sz="1"/>
            </w:tcBorders>
            <w:shd w:fill="1A7A4A"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모범답안</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8"/>
                <w:szCs w:val="18"/>
              </w:rPr>
              <w:t xml:space="preserve">가. 원고와 피고 박이채, 최상진 사이에서, 피고 박이채와 소외 최병철의 별지목록 기재 제2항 건물에 대한 2022. 10. 15. 대물변제 약정을 100,000,000원의 범위에서 취소한다.</w:t>
            </w:r>
          </w:p>
        </w:tc>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8"/>
                <w:szCs w:val="18"/>
              </w:rPr>
              <w:t xml:space="preserve">가. 원고와 피고 박이채, 피고 최상진 사이에서, 소외 최병철과 피고 박이채 사이에 2022. 10. 15. 체결된 대물변제약정을 취소한다.</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8"/>
                <w:szCs w:val="18"/>
              </w:rPr>
              <w:t xml:space="preserve">나. 피고는 원고에게 2022. 10. 15.접수 제12321호 대물변제약정을 원인으로 한 소유권이전등기의 말소절차를 이행하라.</w:t>
            </w:r>
          </w:p>
        </w:tc>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8"/>
                <w:szCs w:val="18"/>
              </w:rPr>
              <w:t xml:space="preserve">나. 소외 최병철에게, 피고 박이채는 서울중앙지방법원 등기국 2022. 10. 15. 접수 제12321호로 마친 소유권이전등기의, 피고 최상진은 같은 등기국 2022. 11. 15. 접수 제13123호로 마친 소유권이전등기의 각 말소등기절차를 이행하라.</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3중 오류</w:t>
            </w:r>
          </w:p>
          <w:p>
            <w:pPr>
              <w:spacing w:after="60" w:before="60"/>
              <w:jc w:val="left"/>
            </w:pPr>
            <w:r>
              <w:rPr>
                <w:rFonts w:ascii="맑은 고딕" w:cs="맑은 고딕" w:eastAsia="맑은 고딕" w:hAnsi="맑은 고딕"/>
                <w:b/>
                <w:bCs/>
                <w:i w:val="false"/>
                <w:iCs w:val="false"/>
                <w:color w:val="C0392B"/>
                <w:sz w:val="19"/>
                <w:szCs w:val="19"/>
              </w:rPr>
              <w:t xml:space="preserve">• [취소 범위] '100,000,000원의 범위에서 취소' ❌ → 전부취소가 원칙 (범위 한정 삭제)</w:t>
            </w:r>
          </w:p>
          <w:p>
            <w:pPr>
              <w:spacing w:after="60" w:before="60"/>
              <w:jc w:val="left"/>
            </w:pPr>
            <w:r>
              <w:rPr>
                <w:rFonts w:ascii="맑은 고딕" w:cs="맑은 고딕" w:eastAsia="맑은 고딕" w:hAnsi="맑은 고딕"/>
                <w:b/>
                <w:bCs/>
                <w:i w:val="false"/>
                <w:iCs w:val="false"/>
                <w:color w:val="C0392B"/>
                <w:sz w:val="19"/>
                <w:szCs w:val="19"/>
              </w:rPr>
              <w:t xml:space="preserve">• [이행 대상] '원고에게' ❌ → '소외 최병철에게'가 정확 (원물반환의 이행 상대방은 채무자)</w:t>
            </w:r>
          </w:p>
          <w:p>
            <w:pPr>
              <w:spacing w:after="60" w:before="60"/>
              <w:jc w:val="left"/>
            </w:pPr>
            <w:r>
              <w:rPr>
                <w:rFonts w:ascii="맑은 고딕" w:cs="맑은 고딕" w:eastAsia="맑은 고딕" w:hAnsi="맑은 고딕"/>
                <w:b/>
                <w:bCs/>
                <w:i w:val="false"/>
                <w:iCs w:val="false"/>
                <w:color w:val="C0392B"/>
                <w:sz w:val="19"/>
                <w:szCs w:val="19"/>
              </w:rPr>
              <w:t xml:space="preserve">• [최상진 등기 누락] 전득자 피고 최상진 명의 소유권이전등기 말소 청구 누락 ❌</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[피고 특정] '피고는' ❌ → 피고 박이채, 피고 최상진 각 명시해야</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⑧ 장정자 가액배상 → 모범답안에 없는 청구</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모범답안에 없는 청구 — 과잉 청구, 분량 낭비</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세직 기재: 장정자에 대한 사해행위취소 및 가액배상(1억 원) 청구</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모범답안 청구취지에 장정자 관련 항목 없음 → 성립 안 되는 청구를 기재한 것으로 보임</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⑨ 김영철 → 동시이행 인도  ★ 금액 미기재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세직 기재 (오류)</w:t>
            </w:r>
          </w:p>
        </w:tc>
        <w:tc>
          <w:tcPr>
            <w:tcBorders>
              <w:top w:val="single" w:color="BBBBBB" w:sz="1"/>
              <w:left w:val="single" w:color="BBBBBB" w:sz="1"/>
              <w:bottom w:val="single" w:color="BBBBBB" w:sz="1"/>
              <w:right w:val="single" w:color="BBBBBB" w:sz="1"/>
            </w:tcBorders>
            <w:shd w:fill="1A7A4A"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20"/>
                <w:szCs w:val="20"/>
              </w:rPr>
              <w:t xml:space="preserve">✅ 모범답안</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8"/>
                <w:szCs w:val="18"/>
              </w:rPr>
              <w:t xml:space="preserve">피고 김영철은 원고로부터 ~ 원을 지급받음과 동시에 별지목록 기재 제5항 건물에 관하여 도면 기재 제 1, 2,3,4,5를 연결한 부분을 인도하라.</w:t>
            </w:r>
          </w:p>
        </w:tc>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8"/>
                <w:szCs w:val="18"/>
              </w:rPr>
              <w:t xml:space="preserve">피고 김영철은 원고로부터 93,000,000원을 지급받음과 동시에 원고에게 별지 목록 제5. 기재 건물 중 별지 도면 표시 1, 2, 3, 4, 1의 각 점을 차례로 연결한 선내 (가) 부분 60㎡를 인도하라.</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금액 미기재 — 청구취지로서 불특정</w:t>
            </w:r>
          </w:p>
          <w:p>
            <w:pPr>
              <w:spacing w:after="60" w:before="60"/>
              <w:jc w:val="left"/>
            </w:pPr>
            <w:r>
              <w:rPr>
                <w:rFonts w:ascii="맑은 고딕" w:cs="맑은 고딕" w:eastAsia="맑은 고딕" w:hAnsi="맑은 고딕"/>
                <w:b/>
                <w:bCs/>
                <w:i w:val="false"/>
                <w:iCs w:val="false"/>
                <w:color w:val="C0392B"/>
                <w:sz w:val="19"/>
                <w:szCs w:val="19"/>
              </w:rPr>
              <w:t xml:space="preserve">• '~ 원' ❌ → 93,000,000원 (보증금 1억 - 연체차임 700만)</w:t>
            </w:r>
          </w:p>
          <w:p>
            <w:pPr>
              <w:spacing w:after="60" w:before="60"/>
              <w:jc w:val="left"/>
            </w:pPr>
            <w:r>
              <w:rPr>
                <w:rFonts w:ascii="맑은 고딕" w:cs="맑은 고딕" w:eastAsia="맑은 고딕" w:hAnsi="맑은 고딕"/>
                <w:b w:val="false"/>
                <w:bCs w:val="false"/>
                <w:i w:val="false"/>
                <w:iCs w:val="false"/>
                <w:color w:val="C0392B"/>
                <w:sz w:val="19"/>
                <w:szCs w:val="19"/>
              </w:rPr>
              <w:t xml:space="preserve">• 도면 표시 방식: '1,2,3,4,5 연결' ❌ → '1, 2, 3, 4, 1의 각 점을 차례로 연결한 선내 (가) 부분 60㎡'</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p>
      <w:pPr>
        <w:pBdr>
          <w:bottom w:val="single" w:color="1B4F72" w:sz="2"/>
        </w:pBdr>
        <w:spacing w:after="60" w:before="160"/>
      </w:pPr>
      <w:r>
        <w:rPr>
          <w:rFonts w:ascii="맑은 고딕" w:cs="맑은 고딕" w:eastAsia="맑은 고딕" w:hAnsi="맑은 고딕"/>
          <w:b/>
          <w:bCs/>
          <w:color w:val="1B4F72"/>
          <w:sz w:val="22"/>
          <w:szCs w:val="22"/>
        </w:rPr>
        <w:t xml:space="preserve">⑩ 소송비용 · 가집행  ★ 전면 누락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C0392B" w:sz="6"/>
              <w:left w:val="single" w:color="C0392B" w:sz="6"/>
              <w:bottom w:val="single" w:color="C0392B" w:sz="6"/>
              <w:right w:val="single" w:color="C0392B" w:sz="6"/>
            </w:tcBorders>
            <w:shd w:fill="FADBD8" w:val="clear"/>
            <w:tcMar>
              <w:top w:type="dxa" w:w="100"/>
              <w:left w:type="dxa" w:w="160"/>
              <w:bottom w:type="dxa" w:w="100"/>
              <w:right w:type="dxa" w:w="160"/>
            </w:tcMar>
          </w:tcPr>
          <w:p>
            <w:pPr>
              <w:spacing w:after="60" w:before="0"/>
              <w:jc w:val="left"/>
            </w:pPr>
            <w:r>
              <w:rPr>
                <w:rFonts w:ascii="맑은 고딕" w:cs="맑은 고딕" w:eastAsia="맑은 고딕" w:hAnsi="맑은 고딕"/>
                <w:b/>
                <w:bCs/>
                <w:i w:val="false"/>
                <w:iCs w:val="false"/>
                <w:color w:val="C0392B"/>
                <w:sz w:val="22"/>
                <w:szCs w:val="22"/>
              </w:rPr>
              <w:t xml:space="preserve">❌ 배점 확정 항목 전면 누락 — 반드시 암기</w:t>
            </w:r>
          </w:p>
          <w:p>
            <w:pPr>
              <w:spacing w:after="60" w:before="60"/>
              <w:jc w:val="left"/>
            </w:pPr>
            <w:r>
              <w:rPr>
                <w:rFonts w:ascii="맑은 고딕" w:cs="맑은 고딕" w:eastAsia="맑은 고딕" w:hAnsi="맑은 고딕"/>
                <w:b/>
                <w:bCs/>
                <w:i w:val="false"/>
                <w:iCs w:val="false"/>
                <w:color w:val="C0392B"/>
                <w:sz w:val="19"/>
                <w:szCs w:val="19"/>
              </w:rPr>
              <w:t xml:space="preserve">• 소송비용: '소송비용은 피고들이 부담한다.' ← 이행·확인·형성 청구 불문 항상 기재</w:t>
            </w:r>
          </w:p>
          <w:p>
            <w:pPr>
              <w:spacing w:after="60" w:before="60"/>
              <w:jc w:val="left"/>
            </w:pPr>
            <w:r>
              <w:rPr>
                <w:rFonts w:ascii="맑은 고딕" w:cs="맑은 고딕" w:eastAsia="맑은 고딕" w:hAnsi="맑은 고딕"/>
                <w:b/>
                <w:bCs/>
                <w:i w:val="false"/>
                <w:iCs w:val="false"/>
                <w:color w:val="C0392B"/>
                <w:sz w:val="19"/>
                <w:szCs w:val="19"/>
              </w:rPr>
              <w:t xml:space="preserve">• 가집행: '제3항(주진희) 및 제5항(김영철)은 각 가집행할 수 있다.' ← 이행 청구에만 기재</w:t>
            </w:r>
          </w:p>
          <w:p>
            <w:pPr>
              <w:spacing w:after="60" w:before="60"/>
              <w:jc w:val="left"/>
            </w:pPr>
            <w:r>
              <w:rPr>
                <w:rFonts w:ascii="맑은 고딕" w:cs="맑은 고딕" w:eastAsia="맑은 고딕" w:hAnsi="맑은 고딕"/>
                <w:b w:val="false"/>
                <w:bCs w:val="false"/>
                <w:i w:val="false"/>
                <w:iCs w:val="false"/>
                <w:color w:val="E67E22"/>
                <w:sz w:val="19"/>
                <w:szCs w:val="19"/>
              </w:rPr>
              <w:t xml:space="preserve">※ 시간 부족으로 누락했으나, 이 두 항목은 5초 만에 쓸 수 있는 암기 사항. 다음 답안부터 마지막에 반드시 확인.</w:t>
            </w:r>
          </w:p>
        </w:tc>
      </w:tr>
    </w:tbl>
    <w:p>
      <w:pPr>
        <w:spacing w:after="10" w:before="10"/>
        <w:jc w:val="left"/>
      </w:pPr>
      <w:r>
        <w:rPr>
          <w:rFonts w:ascii="맑은 고딕" w:cs="맑은 고딕" w:eastAsia="맑은 고딕" w:hAnsi="맑은 고딕"/>
          <w:b w:val="false"/>
          <w:bCs w:val="false"/>
          <w:i w:val="false"/>
          <w:iCs w:val="false"/>
          <w:color w:val="000000"/>
          <w:sz w:val="20"/>
          <w:szCs w:val="20"/>
        </w:rPr>
        <w:t xml:space="preserve"> </w:t>
      </w:r>
    </w:p>
    <w:p>
      <w:pPr>
        <w:shd w:fill="1B2631" w:val="clear"/>
        <w:spacing w:after="100" w:before="200"/>
        <w:ind w:left="120"/>
      </w:pPr>
      <w:r>
        <w:rPr>
          <w:rFonts w:ascii="맑은 고딕" w:cs="맑은 고딕" w:eastAsia="맑은 고딕" w:hAnsi="맑은 고딕"/>
          <w:b/>
          <w:bCs/>
          <w:color w:val="FFFFFF"/>
          <w:sz w:val="26"/>
          <w:szCs w:val="26"/>
        </w:rPr>
        <w:t xml:space="preserve">【3】 요건사실·청구원인 실체 법리 검토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906"/>
      </w:tblGrid>
      <w:tr>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쟁점</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판정</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비고</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취득시효 채권자대위 구조 이해</w:t>
            </w:r>
          </w:p>
        </w:tc>
        <w:tc>
          <w:tcPr>
            <w:tcW w:type="auto" w:w="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피보전채권·채무자 권리 불행사·채권보전 필요성 전반 파악</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기판력 항변 탄핵 ('소송물 다름')</w:t>
            </w:r>
          </w:p>
        </w:tc>
        <w:tc>
          <w:tcPr>
            <w:tcW w:type="auto" w:w="0"/>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E67E22"/>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내용은 맞으나 '구소송물이론' 이론명 나열 불필요 — 분량 낭비</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주진희 변제충당 계산 (8,000만)</w:t>
            </w:r>
          </w:p>
        </w:tc>
        <w:tc>
          <w:tcPr>
            <w:tcW w:type="auto" w:w="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이철수 시효소멸분 1억, 충당 순서, 최종액 정확</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주진희 이율 (소촉법 vs. 약정)</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약정이율(월 1%) &gt; 소촉법(연 12%) → 전 기간 월 1% 적용해야</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사해행위 공동근저당 공제 법리</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'물상보증 제공이므로 공제 불가' 오류 → 채무자 소유 부동산이 피담보채권 전액 우선 부담</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채권양도 대항요건 (연대보증인)</w:t>
            </w:r>
          </w:p>
        </w:tc>
        <w:tc>
          <w:tcPr>
            <w:tcW w:type="auto" w:w="0"/>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1A7A4A"/>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주채무자에게만 갖추면 족함 — 정확</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임대차 해지·동시이행 구조</w:t>
            </w:r>
          </w:p>
        </w:tc>
        <w:tc>
          <w:tcPr>
            <w:tcW w:type="auto" w:w="0"/>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E67E22"/>
                <w:sz w:val="19"/>
                <w:szCs w:val="19"/>
              </w:rPr>
              <w:t xml:space="preserv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구조 이해는 있으나 청구취지 금액 미산정</w:t>
            </w:r>
          </w:p>
        </w:tc>
      </w:tr>
    </w:tbl>
    <w:p>
      <w:pPr>
        <w:spacing w:after="10" w:before="10"/>
        <w:jc w:val="left"/>
      </w:pPr>
      <w:r>
        <w:rPr>
          <w:rFonts w:ascii="맑은 고딕" w:cs="맑은 고딕" w:eastAsia="맑은 고딕" w:hAnsi="맑은 고딕"/>
          <w:b w:val="false"/>
          <w:bCs w:val="false"/>
          <w:i w:val="false"/>
          <w:iCs w:val="false"/>
          <w:color w:val="000000"/>
          <w:sz w:val="20"/>
          <w:szCs w:val="20"/>
        </w:rPr>
        <w:t xml:space="preserve"> </w:t>
      </w:r>
    </w:p>
    <w:p>
      <w:pPr>
        <w:shd w:fill="1B2631" w:val="clear"/>
        <w:spacing w:after="100" w:before="200"/>
        <w:ind w:left="120"/>
      </w:pPr>
      <w:r>
        <w:rPr>
          <w:rFonts w:ascii="맑은 고딕" w:cs="맑은 고딕" w:eastAsia="맑은 고딕" w:hAnsi="맑은 고딕"/>
          <w:b/>
          <w:bCs/>
          <w:color w:val="FFFFFF"/>
          <w:sz w:val="26"/>
          <w:szCs w:val="26"/>
        </w:rPr>
        <w:t xml:space="preserve">【5】 종합 평가</w:t>
      </w:r>
    </w:p>
    <w:p>
      <w:pPr>
        <w:pBdr>
          <w:bottom w:val="single" w:color="1B4F72" w:sz="2"/>
        </w:pBdr>
        <w:spacing w:after="60" w:before="160"/>
      </w:pPr>
      <w:r>
        <w:rPr>
          <w:rFonts w:ascii="맑은 고딕" w:cs="맑은 고딕" w:eastAsia="맑은 고딕" w:hAnsi="맑은 고딕"/>
          <w:b/>
          <w:bCs/>
          <w:color w:val="1B4F72"/>
          <w:sz w:val="22"/>
          <w:szCs w:val="22"/>
        </w:rPr>
        <w:t xml:space="preserve">재채점 점수 (2024. 3. 12. 판결 반영)</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706"/>
      </w:tblGrid>
      <w:tr>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영역</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배점(추정)</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세직 득점</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비고</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청구취지</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50</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18</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방향 이슈 일부 구제, 나머지 오류 유지</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요건사실·청구원인</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40</w:t>
            </w:r>
          </w:p>
        </w:tc>
        <w:tc>
          <w:tcPr>
            <w:tcW w:type="auto" w:w="0"/>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E67E22"/>
                <w:sz w:val="19"/>
                <w:szCs w:val="19"/>
              </w:rPr>
              <w:t xml:space="preserve">28</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실체 이해 양호, 공동근저당 오류</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형식적 기재</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15</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7</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소송비용·가집행 누락</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상법 쟁점</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20</w:t>
            </w:r>
          </w:p>
        </w:tc>
        <w:tc>
          <w:tcPr>
            <w:tcW w:type="auto" w:w="0"/>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E67E22"/>
                <w:sz w:val="19"/>
                <w:szCs w:val="19"/>
              </w:rPr>
              <w:t xml:space="preserve">12</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연대채무·연대보증·충당 기재</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기타 민법 쟁점</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50</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5</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555555"/>
                <w:sz w:val="19"/>
                <w:szCs w:val="19"/>
              </w:rPr>
              <w:t xml:space="preserve">사해행위 오류, 장정자 과잉 청구</w:t>
            </w:r>
          </w:p>
        </w:tc>
      </w:tr>
      <w:tr>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FFFFFF"/>
                <w:sz w:val="19"/>
                <w:szCs w:val="19"/>
              </w:rPr>
              <w:t xml:space="preserve">합계</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FFFFFF"/>
                <w:sz w:val="19"/>
                <w:szCs w:val="19"/>
              </w:rPr>
              <w:t xml:space="preserve">175</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70 (40%)</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FFFFFF"/>
                <w:sz w:val="19"/>
                <w:szCs w:val="19"/>
              </w:rPr>
              <w:t xml:space="preserve">합격권 기준선 87.5점 — △17.5점</w:t>
            </w:r>
          </w:p>
        </w:tc>
      </w:tr>
    </w:tbl>
    <w:p>
      <w:pPr>
        <w:spacing w:after="8" w:before="8"/>
        <w:jc w:val="left"/>
      </w:pPr>
      <w:r>
        <w:rPr>
          <w:rFonts w:ascii="맑은 고딕" w:cs="맑은 고딕" w:eastAsia="맑은 고딕" w:hAnsi="맑은 고딕"/>
          <w:b w:val="false"/>
          <w:bCs w:val="false"/>
          <w:i w:val="false"/>
          <w:iCs w:val="false"/>
          <w:color w:val="000000"/>
          <w:sz w:val="20"/>
          <w:szCs w:val="20"/>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BBBBBB" w:sz="1"/>
              <w:left w:val="single" w:color="BBBBBB" w:sz="1"/>
              <w:bottom w:val="single" w:color="BBBBBB" w:sz="1"/>
              <w:right w:val="single" w:color="BBBBBB" w:sz="1"/>
            </w:tcBorders>
            <w:shd w:fill="F2F3F4" w:val="clear"/>
            <w:tcMar>
              <w:top w:type="dxa" w:w="120"/>
              <w:left w:type="dxa" w:w="200"/>
              <w:bottom w:type="dxa" w:w="120"/>
              <w:right w:type="dxa" w:w="200"/>
            </w:tcMar>
          </w:tcPr>
          <w:p>
            <w:pPr>
              <w:spacing w:after="60" w:before="0"/>
              <w:jc w:val="left"/>
            </w:pPr>
            <w:r>
              <w:rPr>
                <w:rFonts w:ascii="맑은 고딕" w:cs="맑은 고딕" w:eastAsia="맑은 고딕" w:hAnsi="맑은 고딕"/>
                <w:b/>
                <w:bCs/>
                <w:i w:val="false"/>
                <w:iCs w:val="false"/>
                <w:color w:val="1B2631"/>
                <w:sz w:val="22"/>
                <w:szCs w:val="22"/>
              </w:rPr>
              <w:t xml:space="preserve">[ 총평 ]</w:t>
            </w:r>
          </w:p>
          <w:p>
            <w:pPr>
              <w:spacing w:after="0" w:before="0"/>
              <w:jc w:val="left"/>
            </w:pPr>
            <w:r>
              <w:rPr>
                <w:rFonts w:ascii="맑은 고딕" w:cs="맑은 고딕" w:eastAsia="맑은 고딕" w:hAnsi="맑은 고딕"/>
                <w:b w:val="false"/>
                <w:bCs w:val="false"/>
                <w:i w:val="false"/>
                <w:iCs w:val="false"/>
                <w:color w:val="000000"/>
                <w:sz w:val="19"/>
                <w:szCs w:val="19"/>
              </w:rPr>
              <w:t xml:space="preserve">채권자대위소송의 핵심 구조(이행 상대방)를 청구취지에 구현하는 능력이 아직 부족합니다. 박성연·사해행위 이행 대상 오류처럼 방향 이슈가 아닌 내용 자체의 오류가 다수 존재하며, 소송비용·가집행은 반드시 암기로 해결해야 합니다. 청구원인의 실체 이해는 양호하므로 청구취지 암기·패턴 훈련에 집중하면 합격권 진입이 충분히 가능합니다.</w:t>
            </w:r>
          </w:p>
        </w:tc>
      </w:tr>
    </w:tbl>
    <w:p>
      <w:pPr>
        <w:spacing w:after="10" w:before="10"/>
        <w:jc w:val="left"/>
      </w:pPr>
      <w:r>
        <w:rPr>
          <w:rFonts w:ascii="맑은 고딕" w:cs="맑은 고딕" w:eastAsia="맑은 고딕" w:hAnsi="맑은 고딕"/>
          <w:b w:val="false"/>
          <w:bCs w:val="false"/>
          <w:i w:val="false"/>
          <w:iCs w:val="false"/>
          <w:color w:val="000000"/>
          <w:sz w:val="20"/>
          <w:szCs w:val="20"/>
        </w:rPr>
        <w:t xml:space="preserve"> </w:t>
      </w:r>
    </w:p>
    <w:p>
      <w:pPr>
        <w:shd w:fill="1B2631" w:val="clear"/>
        <w:spacing w:after="100" w:before="200"/>
        <w:ind w:left="120"/>
      </w:pPr>
      <w:r>
        <w:rPr>
          <w:rFonts w:ascii="맑은 고딕" w:cs="맑은 고딕" w:eastAsia="맑은 고딕" w:hAnsi="맑은 고딕"/>
          <w:b/>
          <w:bCs/>
          <w:color w:val="FFFFFF"/>
          <w:sz w:val="26"/>
          <w:szCs w:val="26"/>
        </w:rPr>
        <w:t xml:space="preserve">【6】 핵심 수정 사항 TOP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906"/>
      </w:tblGrid>
      <w:tr>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순위</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유형</w:t>
            </w:r>
          </w:p>
        </w:tc>
        <w:tc>
          <w:tcPr>
            <w:tcW w:type="auto" w:w="0"/>
            <w:tcBorders>
              <w:top w:val="single" w:color="BBBBBB" w:sz="1"/>
              <w:left w:val="single" w:color="BBBBBB" w:sz="1"/>
              <w:bottom w:val="single" w:color="BBBBBB" w:sz="1"/>
              <w:right w:val="single" w:color="BBBBBB" w:sz="1"/>
            </w:tcBorders>
            <w:shd w:fill="1B2631" w:val="clear"/>
            <w:tcMar>
              <w:top w:type="dxa" w:w="80"/>
              <w:left w:type="dxa" w:w="120"/>
              <w:bottom w:type="dxa" w:w="80"/>
              <w:right w:type="dxa" w:w="120"/>
            </w:tcMar>
          </w:tcPr>
          <w:p>
            <w:pPr>
              <w:spacing w:after="60" w:before="60"/>
              <w:jc w:val="left"/>
            </w:pPr>
            <w:r>
              <w:rPr>
                <w:rFonts w:ascii="맑은 고딕" w:cs="맑은 고딕" w:eastAsia="맑은 고딕" w:hAnsi="맑은 고딕"/>
                <w:b/>
                <w:bCs/>
                <w:i w:val="false"/>
                <w:iCs w:val="false"/>
                <w:color w:val="FFFFFF"/>
                <w:sz w:val="19"/>
                <w:szCs w:val="19"/>
              </w:rPr>
              <w:t xml:space="preserve">내용</w:t>
            </w:r>
          </w:p>
        </w:tc>
      </w:tr>
      <w:tr>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1순위 ★</w:t>
            </w:r>
          </w:p>
        </w:tc>
        <w:tc>
          <w:tcPr>
            <w:tcW w:type="auto" w:w="0"/>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C0392B"/>
                <w:sz w:val="19"/>
                <w:szCs w:val="19"/>
              </w:rPr>
              <w:t xml:space="preserve">[형식]</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채권자대위 구조 정확히 기재: 정진선·기쁨은행은 '피고 이민국에게' 이행, 박성연은 '소유권이전등기 말소에 대한 승낙 의사표시' (가압류 해제 ✗)</w:t>
            </w:r>
          </w:p>
        </w:tc>
      </w:tr>
      <w:tr>
        <w:tc>
          <w:tcPr>
            <w:tcW w:type="auto" w:w="0"/>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E67E22"/>
                <w:sz w:val="19"/>
                <w:szCs w:val="19"/>
              </w:rPr>
              <w:t xml:space="preserve">2순위 ★</w:t>
            </w:r>
          </w:p>
        </w:tc>
        <w:tc>
          <w:tcPr>
            <w:tcW w:type="auto" w:w="0"/>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E67E22"/>
                <w:sz w:val="19"/>
                <w:szCs w:val="19"/>
              </w:rPr>
              <w:t xml:space="preserve">[형식]</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소송비용 + 가집행 체크리스트 의식화: 이행청구(주진희·김영철) 가집행, 전체 소송비용 — 답안 마무리 전 반드시 확인</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3순위</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[실체]</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60" w:before="60"/>
              <w:jc w:val="left"/>
            </w:pPr>
            <w:r>
              <w:rPr>
                <w:rFonts w:ascii="맑은 고딕" w:cs="맑은 고딕" w:eastAsia="맑은 고딕" w:hAnsi="맑은 고딕"/>
                <w:b w:val="false"/>
                <w:bCs w:val="false"/>
                <w:i w:val="false"/>
                <w:iCs w:val="false"/>
                <w:color w:val="000000"/>
                <w:sz w:val="19"/>
                <w:szCs w:val="19"/>
              </w:rPr>
              <w:t xml:space="preserve">사해행위취소 원물반환: 이행 상대방은 '소외 최병철에게', 전득자 최상진 등기 말소도 함께 — 주진희 이율은 전 기간 월 1% 유지</w:t>
            </w:r>
          </w:p>
        </w:tc>
      </w:tr>
    </w:tbl>
    <w:p>
      <w:pPr>
        <w:spacing w:after="10" w:before="10"/>
        <w:jc w:val="left"/>
      </w:pPr>
      <w:r>
        <w:rPr>
          <w:rFonts w:ascii="맑은 고딕" w:cs="맑은 고딕" w:eastAsia="맑은 고딕" w:hAnsi="맑은 고딕"/>
          <w:b w:val="false"/>
          <w:bCs w:val="false"/>
          <w:i w:val="false"/>
          <w:iCs w:val="false"/>
          <w:color w:val="000000"/>
          <w:sz w:val="20"/>
          <w:szCs w:val="20"/>
        </w:rPr>
        <w:t xml:space="preserve"> </w:t>
      </w:r>
    </w:p>
    <w:p>
      <w:pPr>
        <w:shd w:fill="1B2631" w:val="clear"/>
        <w:spacing w:after="100" w:before="200"/>
        <w:ind w:left="120"/>
      </w:pPr>
      <w:r>
        <w:rPr>
          <w:rFonts w:ascii="맑은 고딕" w:cs="맑은 고딕" w:eastAsia="맑은 고딕" w:hAnsi="맑은 고딕"/>
          <w:b/>
          <w:bCs/>
          <w:color w:val="FFFFFF"/>
          <w:sz w:val="26"/>
          <w:szCs w:val="26"/>
        </w:rPr>
        <w:t xml:space="preserve">【7】 오류 원인 진단 + 첨삭 요약 (누적 저장용)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1B2631" w:sz="8"/>
              <w:left w:val="single" w:color="1B2631" w:sz="8"/>
              <w:bottom w:val="single" w:color="1B2631" w:sz="8"/>
              <w:right w:val="single" w:color="1B2631" w:sz="8"/>
            </w:tcBorders>
            <w:shd w:fill="F8F9FA" w:val="clear"/>
            <w:tcMar>
              <w:top w:type="dxa" w:w="140"/>
              <w:left w:type="dxa" w:w="200"/>
              <w:bottom w:type="dxa" w:w="140"/>
              <w:right w:type="dxa" w:w="200"/>
            </w:tcMar>
          </w:tcPr>
          <w:p>
            <w:pPr>
              <w:spacing w:after="60" w:before="0"/>
              <w:jc w:val="left"/>
            </w:pPr>
            <w:r>
              <w:rPr>
                <w:rFonts w:ascii="맑은 고딕" w:cs="맑은 고딕" w:eastAsia="맑은 고딕" w:hAnsi="맑은 고딕"/>
                <w:b/>
                <w:bCs/>
                <w:i w:val="false"/>
                <w:iCs w:val="false"/>
                <w:color w:val="1B2631"/>
                <w:sz w:val="22"/>
                <w:szCs w:val="22"/>
              </w:rPr>
              <w:t xml:space="preserve">[기록형 첨삭 요약]</w:t>
            </w:r>
          </w:p>
          <w:p>
            <w:pPr>
              <w:spacing w:after="30" w:before="0"/>
              <w:jc w:val="left"/>
            </w:pPr>
            <w:r>
              <w:rPr>
                <w:rFonts w:ascii="맑은 고딕" w:cs="맑은 고딕" w:eastAsia="맑은 고딕" w:hAnsi="맑은 고딕"/>
                <w:b w:val="false"/>
                <w:bCs w:val="false"/>
                <w:i w:val="false"/>
                <w:iCs w:val="false"/>
                <w:color w:val="000000"/>
                <w:sz w:val="19"/>
                <w:szCs w:val="19"/>
              </w:rPr>
              <w:t xml:space="preserve">일자: 2026. 05. 13.</w:t>
            </w:r>
          </w:p>
          <w:p>
            <w:pPr>
              <w:spacing w:after="30" w:before="0"/>
              <w:jc w:val="left"/>
            </w:pPr>
            <w:r>
              <w:rPr>
                <w:rFonts w:ascii="맑은 고딕" w:cs="맑은 고딕" w:eastAsia="맑은 고딕" w:hAnsi="맑은 고딕"/>
                <w:b w:val="false"/>
                <w:bCs w:val="false"/>
                <w:i w:val="false"/>
                <w:iCs w:val="false"/>
                <w:color w:val="000000"/>
                <w:sz w:val="19"/>
                <w:szCs w:val="19"/>
              </w:rPr>
              <w:t xml:space="preserve">문제: 소유권이전등기 등 청구의 소 (제12회 변시 기록형)</w:t>
            </w:r>
          </w:p>
          <w:p>
            <w:pPr>
              <w:spacing w:after="60" w:before="0"/>
              <w:jc w:val="left"/>
            </w:pPr>
            <w:r>
              <w:rPr>
                <w:rFonts w:ascii="맑은 고딕" w:cs="맑은 고딕" w:eastAsia="맑은 고딕" w:hAnsi="맑은 고딕"/>
                <w:b/>
                <w:bCs/>
                <w:i w:val="false"/>
                <w:iCs w:val="false"/>
                <w:color w:val="C0392B"/>
                <w:sz w:val="19"/>
                <w:szCs w:val="19"/>
              </w:rPr>
              <w:t xml:space="preserve">예상득점: (추정) 70 / 175점</w:t>
            </w:r>
          </w:p>
          <w:p>
            <w:pPr>
              <w:spacing w:after="30" w:before="0"/>
              <w:jc w:val="left"/>
            </w:pPr>
            <w:r>
              <w:rPr>
                <w:rFonts w:ascii="맑은 고딕" w:cs="맑은 고딕" w:eastAsia="맑은 고딕" w:hAnsi="맑은 고딕"/>
                <w:b/>
                <w:bCs/>
                <w:i w:val="false"/>
                <w:iCs w:val="false"/>
                <w:color w:val="1B2631"/>
                <w:sz w:val="20"/>
                <w:szCs w:val="20"/>
              </w:rPr>
              <w:t xml:space="preserve">▶ 형식 오류</w:t>
            </w:r>
          </w:p>
          <w:p>
            <w:pPr>
              <w:spacing w:after="60" w:before="0"/>
              <w:jc w:val="left"/>
            </w:pPr>
            <w:r>
              <w:rPr>
                <w:rFonts w:ascii="맑은 고딕" w:cs="맑은 고딕" w:eastAsia="맑은 고딕" w:hAnsi="맑은 고딕"/>
                <w:b w:val="false"/>
                <w:bCs w:val="false"/>
                <w:i w:val="false"/>
                <w:iCs w:val="false"/>
                <w:color w:val="000000"/>
                <w:sz w:val="18"/>
                <w:szCs w:val="18"/>
              </w:rPr>
              <w:t xml:space="preserve">- 소송비용 부담 문언 전면 누락 (★ 반복 경고)
- 가집행 선고 신청 전면 누락 (★ 반복 경고)
- 유덕희·김민경·김준용 피고 표시 → 소외인이어야 함
- 피고 번호 체계 불일치 (1~3번 번호 없음)
- 생년월일 미기재</w:t>
            </w:r>
          </w:p>
          <w:p>
            <w:pPr>
              <w:spacing w:after="30" w:before="0"/>
              <w:jc w:val="left"/>
            </w:pPr>
            <w:r>
              <w:rPr>
                <w:rFonts w:ascii="맑은 고딕" w:cs="맑은 고딕" w:eastAsia="맑은 고딕" w:hAnsi="맑은 고딕"/>
                <w:b/>
                <w:bCs/>
                <w:i w:val="false"/>
                <w:iCs w:val="false"/>
                <w:color w:val="1B2631"/>
                <w:sz w:val="20"/>
                <w:szCs w:val="20"/>
              </w:rPr>
              <w:t xml:space="preserve">▶ 청구취지 오류</w:t>
            </w:r>
          </w:p>
          <w:p>
            <w:pPr>
              <w:spacing w:after="60" w:before="0"/>
              <w:jc w:val="left"/>
            </w:pPr>
            <w:r>
              <w:rPr>
                <w:rFonts w:ascii="맑은 고딕" w:cs="맑은 고딕" w:eastAsia="맑은 고딕" w:hAnsi="맑은 고딕"/>
                <w:b w:val="false"/>
                <w:bCs w:val="false"/>
                <w:i w:val="false"/>
                <w:iCs w:val="false"/>
                <w:color w:val="000000"/>
                <w:sz w:val="18"/>
                <w:szCs w:val="18"/>
              </w:rPr>
              <w:t xml:space="preserve">- 정진선·기쁨은행: '원고에게 말소' 문언 부정확 (말소는 수익자 표시 불필요)
- 박성연: '가압류 해제 승낙' ❌ → '소유권이전등기 말소에 대한 승낙 의사표시'
- 주진희: 연 12% 오류 → 월 1% 전 기간 적용 / '소장 부본 송달일' 표현
- 사해행위취소 이행 대상 '원고에게' ❌ → '소외 최병철에게'
- 전득자 최상진 명의 말소 누락
- 취소 범위 '1억 원의 범위에서' ❌ → 전부취소
- 장정자 가액배상 청구: 모범답안에 없는 과잉 청구
- 김영철 보증금 금액 미기재 ('~ 원')
- 도면 표시 방식 부정확 (60㎡, (가) 부분 미기재)</w:t>
            </w:r>
          </w:p>
          <w:p>
            <w:pPr>
              <w:spacing w:after="30" w:before="0"/>
              <w:jc w:val="left"/>
            </w:pPr>
            <w:r>
              <w:rPr>
                <w:rFonts w:ascii="맑은 고딕" w:cs="맑은 고딕" w:eastAsia="맑은 고딕" w:hAnsi="맑은 고딕"/>
                <w:b/>
                <w:bCs/>
                <w:i w:val="false"/>
                <w:iCs w:val="false"/>
                <w:color w:val="1B2631"/>
                <w:sz w:val="20"/>
                <w:szCs w:val="20"/>
              </w:rPr>
              <w:t xml:space="preserve">▶ 실체(요건사실) 오류</w:t>
            </w:r>
          </w:p>
          <w:p>
            <w:pPr>
              <w:spacing w:after="60" w:before="0"/>
              <w:jc w:val="left"/>
            </w:pPr>
            <w:r>
              <w:rPr>
                <w:rFonts w:ascii="맑은 고딕" w:cs="맑은 고딕" w:eastAsia="맑은 고딕" w:hAnsi="맑은 고딕"/>
                <w:b w:val="false"/>
                <w:bCs w:val="false"/>
                <w:i w:val="false"/>
                <w:iCs w:val="false"/>
                <w:color w:val="000000"/>
                <w:sz w:val="18"/>
                <w:szCs w:val="18"/>
              </w:rPr>
              <w:t xml:space="preserve">- 사해행위 공동근저당 공제: '물상보증이므로 공제 불가' 오류 → 채무자 소유 부동산 우선 부담
- 소촉법 이율 적용 오해 (약정이율 &gt; 소촉법 → 약정이율 전 기간 우선)
- '구소송물이론' 등 불필요한 이론명 나열</w:t>
            </w:r>
          </w:p>
          <w:p>
            <w:pPr>
              <w:spacing w:after="30" w:before="0"/>
              <w:jc w:val="left"/>
            </w:pPr>
            <w:r>
              <w:rPr>
                <w:rFonts w:ascii="맑은 고딕" w:cs="맑은 고딕" w:eastAsia="맑은 고딕" w:hAnsi="맑은 고딕"/>
                <w:b/>
                <w:bCs/>
                <w:i w:val="false"/>
                <w:iCs w:val="false"/>
                <w:color w:val="1B2631"/>
                <w:sz w:val="20"/>
                <w:szCs w:val="20"/>
              </w:rPr>
              <w:t xml:space="preserve">▶ 오류 원인 진단</w:t>
            </w:r>
          </w:p>
          <w:p>
            <w:pPr>
              <w:spacing w:after="60" w:before="0"/>
              <w:jc w:val="left"/>
            </w:pPr>
            <w:r>
              <w:rPr>
                <w:rFonts w:ascii="맑은 고딕" w:cs="맑은 고딕" w:eastAsia="맑은 고딕" w:hAnsi="맑은 고딕"/>
                <w:b w:val="false"/>
                <w:bCs w:val="false"/>
                <w:i w:val="false"/>
                <w:iCs w:val="false"/>
                <w:color w:val="000000"/>
                <w:sz w:val="18"/>
                <w:szCs w:val="18"/>
              </w:rPr>
              <w:t xml:space="preserve">유형: 청구취지 암기 부족 + 채권자대위 구조 미숙 + 시간 부족
진단: 채권자대위소송 청구취지 기재례 미암기. 박성연·사해행위 상대방 등 내용 오류는 별도 교정 필요.
개선 방향: ①채권자대위 청구취지 기재례 단독 암기 ②이행 상대방 체크리스트 습관화 ③마지막 30초 소송비용+가집행 확인 루틴</w:t>
            </w:r>
          </w:p>
          <w:p>
            <w:pPr>
              <w:spacing w:after="30" w:before="0"/>
              <w:jc w:val="left"/>
            </w:pPr>
            <w:r>
              <w:rPr>
                <w:rFonts w:ascii="맑은 고딕" w:cs="맑은 고딕" w:eastAsia="맑은 고딕" w:hAnsi="맑은 고딕"/>
                <w:b/>
                <w:bCs/>
                <w:i w:val="false"/>
                <w:iCs w:val="false"/>
                <w:color w:val="1B2631"/>
                <w:sz w:val="20"/>
                <w:szCs w:val="20"/>
              </w:rPr>
              <w:t xml:space="preserve">▶ 반복 오류 패턴 (누적 주의)</w:t>
            </w:r>
          </w:p>
          <w:p>
            <w:pPr>
              <w:spacing w:after="60" w:before="0"/>
              <w:jc w:val="left"/>
            </w:pPr>
            <w:r>
              <w:rPr>
                <w:rFonts w:ascii="맑은 고딕" w:cs="맑은 고딕" w:eastAsia="맑은 고딕" w:hAnsi="맑은 고딕"/>
                <w:b w:val="false"/>
                <w:bCs w:val="false"/>
                <w:i w:val="false"/>
                <w:iCs w:val="false"/>
                <w:color w:val="000000"/>
                <w:sz w:val="18"/>
                <w:szCs w:val="18"/>
              </w:rPr>
              <w:t xml:space="preserve">- 소송비용 부담 문언 누락 ★
- 가집행 선고 신청 누락 ★
- 채권자대위 이행 상대방 혼동
- 약정이율 &gt; 소촉법 이율인 경우 소촉법 적용 오류</w:t>
            </w:r>
          </w:p>
          <w:p>
            <w:pPr>
              <w:spacing w:after="30" w:before="0"/>
              <w:jc w:val="left"/>
            </w:pPr>
            <w:r>
              <w:rPr>
                <w:rFonts w:ascii="맑은 고딕" w:cs="맑은 고딕" w:eastAsia="맑은 고딕" w:hAnsi="맑은 고딕"/>
                <w:b/>
                <w:bCs/>
                <w:i w:val="false"/>
                <w:iCs w:val="false"/>
                <w:color w:val="1B2631"/>
                <w:sz w:val="20"/>
                <w:szCs w:val="20"/>
              </w:rPr>
              <w:t xml:space="preserve">▶ 다음 답안 작성 전 점검 포인트</w:t>
            </w:r>
          </w:p>
          <w:p>
            <w:pPr>
              <w:spacing w:after="0" w:before="0"/>
              <w:jc w:val="left"/>
            </w:pPr>
            <w:r>
              <w:rPr>
                <w:rFonts w:ascii="맑은 고딕" w:cs="맑은 고딕" w:eastAsia="맑은 고딕" w:hAnsi="맑은 고딕"/>
                <w:b w:val="false"/>
                <w:bCs w:val="false"/>
                <w:i w:val="false"/>
                <w:iCs w:val="false"/>
                <w:color w:val="000000"/>
                <w:sz w:val="18"/>
                <w:szCs w:val="18"/>
              </w:rPr>
              <w:t xml:space="preserve">- 채권자대위 청구취지: 이행 상대방은 항상 채무자
- 사해행위 원물반환: 이행 상대방은 채무자 (채권자 ✗)
- 말소등기는 '원고에게' 아닌 단순 '말소등기절차 이행'
- 약정이율 &gt; 소촉법 → 약정이율로 끝까지
- 이행 청구 = 가집행 / 전체 = 소송비용 ← 반드시 마지막 확인</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2026-05-13T12:18:45.704Z</dcterms:created>
  <dcterms:modified xsi:type="dcterms:W3CDTF">2026-05-13T12:18:45.704Z</dcterms:modified>
</cp:coreProperties>
</file>

<file path=docProps/custom.xml><?xml version="1.0" encoding="utf-8"?>
<Properties xmlns="http://schemas.openxmlformats.org/officeDocument/2006/custom-properties" xmlns:vt="http://schemas.openxmlformats.org/officeDocument/2006/docPropsVTypes"/>
</file>