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6"/>
      </w:tblGrid>
      <w:tr>
        <w:tc>
          <w:tcPr>
            <w:tcW w:type="dxa" w:w="10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■ [2026-05-13] 오늘 공부 정리 | 논점 33 보완 · 37 · 38</w:t>
            </w:r>
          </w:p>
        </w:tc>
      </w:tr>
    </w:tbl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◀ 목차 구조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▶ 시험 현출용 판례 (해당 목차와 수직 정렬)</w:t>
            </w:r>
          </w:p>
        </w:tc>
      </w:tr>
    </w:tbl>
    <w:p>
      <w:pPr>
        <w:pBdr>
          <w:bottom w:val="single" w:color="2E75B6" w:sz="4" w:space="1"/>
        </w:pBdr>
        <w:spacing w:after="14" w:before="44"/>
      </w:pPr>
      <w:r>
        <w:rPr>
          <w:b/>
          <w:bCs/>
          <w:color w:val="2E75B6"/>
          <w:sz w:val="20"/>
          <w:szCs w:val="20"/>
        </w:rPr>
        <w:t xml:space="preserve">▶ 논점 33. 소취하·재소금지·청구의 추가적 변경·부대항소 ★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[2] 재소금지 의의 보완 (제267조②)</w:t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취지: 농락방지 + 모순저촉방지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의의①</w:t>
            </w:r>
            <w:r>
              <w:rPr>
                <w:color w:val="555555"/>
                <w:sz w:val="18"/>
                <w:szCs w:val="18"/>
              </w:rPr>
              <w:t xml:space="preserve">: 소취하권의 남용으로 인하여 법원의 종국판결이 농락될 염려 방지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의의②</w:t>
            </w:r>
            <w:r>
              <w:rPr>
                <w:color w:val="555555"/>
                <w:sz w:val="18"/>
                <w:szCs w:val="18"/>
              </w:rPr>
              <w:t xml:space="preserve">: 판결의 모순 저촉 발생 방지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⚠ 항소심 교환적 변경 현출 주의사항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순서①</w:t>
            </w:r>
            <w:r>
              <w:rPr>
                <w:color w:val="555555"/>
                <w:sz w:val="18"/>
                <w:szCs w:val="18"/>
              </w:rPr>
              <w:t xml:space="preserve">: 구소송물이론에 의하면 실체법상 권리가 소송물 → 청구변경 해당임을 먼저 기재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순서②</w:t>
            </w:r>
            <w:r>
              <w:rPr>
                <w:color w:val="555555"/>
                <w:sz w:val="18"/>
                <w:szCs w:val="18"/>
              </w:rPr>
              <w:t xml:space="preserve">: 교환적 변경의 법적성질(결합설: 구소취하+신소제기) 적시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순서③</w:t>
            </w:r>
            <w:r>
              <w:rPr>
                <w:color w:val="555555"/>
                <w:sz w:val="18"/>
                <w:szCs w:val="18"/>
              </w:rPr>
              <w:t xml:space="preserve">: 항소심 → 종국판결 후 소취하 → 재소금지 → 부적법(긍정설)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재소금지 의의 — 취지 두 가지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재소금지의 취지는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소취하권의 남용으로 인하여 법원의 종국판결이 농락될 염려를 방지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하고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판결의 모순 저촉 발생을 방지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함에 있다.</w:t>
            </w:r>
          </w:p>
          <w:p>
            <w:pPr>
              <w:spacing w:after="0" w:before="16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항소심 교환적 변경 → 재소금지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판례의 구소송물이론에 의하면 실체법상 권리가 소송물이므로 매매에 기한 소유권이전등기청구를 점유취득시효에 기한 이전등기청구로 변경한 것은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실체법상 권리가 다르므로 청구의 변경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 되고, 교환적 변경의 법적성질은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구소취하, 신소제기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로 보는 결합설이므로 항소심에서의 교환적 변경은 본안에 대한 종국판결 후 소취하가 되어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다시 본래의 구청구를 되살리면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재소금지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의 영향을 받아 부적법하다고 보아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재소금지 적용 긍정설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의 입장이다.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[3] 청구의 추가적 변경 (제262조)</w:t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의의: 종전청구 그대로 + 추가 / 요건: 동·사·기·지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①</w:t>
            </w:r>
            <w:r>
              <w:rPr>
                <w:color w:val="555555"/>
                <w:sz w:val="18"/>
                <w:szCs w:val="18"/>
              </w:rPr>
              <w:t xml:space="preserve">: 동종절차와 공통관할이 있을 것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②</w:t>
            </w:r>
            <w:r>
              <w:rPr>
                <w:color w:val="555555"/>
                <w:sz w:val="18"/>
                <w:szCs w:val="18"/>
              </w:rPr>
              <w:t xml:space="preserve">: 사실심 변론종결 전일 것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③</w:t>
            </w:r>
            <w:r>
              <w:rPr>
                <w:color w:val="555555"/>
                <w:sz w:val="18"/>
                <w:szCs w:val="18"/>
              </w:rPr>
              <w:t xml:space="preserve">: 신청구·구청구 간 청구기초의 동일성이 있을 것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④</w:t>
            </w:r>
            <w:r>
              <w:rPr>
                <w:color w:val="555555"/>
                <w:sz w:val="18"/>
                <w:szCs w:val="18"/>
              </w:rPr>
              <w:t xml:space="preserve">: 절차를 현저히 지연시키지 않을 것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항소심 피고 동의 불요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근거</w:t>
            </w:r>
            <w:r>
              <w:rPr>
                <w:color w:val="555555"/>
                <w:sz w:val="18"/>
                <w:szCs w:val="18"/>
              </w:rPr>
              <w:t xml:space="preserve">: 청구기초 동일 → 구·신청구 사실심리 동일 → 피고 심급이익 실질 보장 → 동의 불필요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전부승소 원고의 추가적 변경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허부</w:t>
            </w:r>
            <w:r>
              <w:rPr>
                <w:color w:val="555555"/>
                <w:sz w:val="18"/>
                <w:szCs w:val="18"/>
              </w:rPr>
              <w:t xml:space="preserve">: 피고가 제기한 항소심 계속 중 청구취지 변경 가능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의제</w:t>
            </w:r>
            <w:r>
              <w:rPr>
                <w:color w:val="555555"/>
                <w:sz w:val="18"/>
                <w:szCs w:val="18"/>
              </w:rPr>
              <w:t xml:space="preserve">: 피고에게 불리한 한도 내에서 &lt;부대항소&gt;를 한 취지로도 볼 수 있음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전부승소 원고의 추가적 변경 + 부대항소 의제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제1심에서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전부 승소한 원고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도 피고가 제기한 항소심 계속 중 그 청구취지를 변경할 수 있고, 그것이 피고에게 불리하게 하는 한도 내에서는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부대항소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를 한 취지로도 볼 수 있다.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[4] 부대항소</w:t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적법요건: 주적·피항·변전·부제 | 법적성질: 비항소설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①</w:t>
            </w:r>
            <w:r>
              <w:rPr>
                <w:color w:val="555555"/>
                <w:sz w:val="18"/>
                <w:szCs w:val="18"/>
              </w:rPr>
              <w:t xml:space="preserve">: 주된 항소가 적법하게 계속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②</w:t>
            </w:r>
            <w:r>
              <w:rPr>
                <w:color w:val="555555"/>
                <w:sz w:val="18"/>
                <w:szCs w:val="18"/>
              </w:rPr>
              <w:t xml:space="preserve">: 주된 항소의 피항소인이 항소인을 상대로 할 것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③</w:t>
            </w:r>
            <w:r>
              <w:rPr>
                <w:color w:val="555555"/>
                <w:sz w:val="18"/>
                <w:szCs w:val="18"/>
              </w:rPr>
              <w:t xml:space="preserve">: 항소심 변론 종결 전에 제기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④</w:t>
            </w:r>
            <w:r>
              <w:rPr>
                <w:color w:val="555555"/>
                <w:sz w:val="18"/>
                <w:szCs w:val="18"/>
              </w:rPr>
              <w:t xml:space="preserve">: 부대항소장 제출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법적성질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판례</w:t>
            </w:r>
            <w:r>
              <w:rPr>
                <w:color w:val="555555"/>
                <w:sz w:val="18"/>
                <w:szCs w:val="18"/>
              </w:rPr>
              <w:t xml:space="preserve">: &lt;비항소설&gt; — 독립된 항소가 아님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부대항소장 미제출 → 의제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내용</w:t>
            </w:r>
            <w:r>
              <w:rPr>
                <w:color w:val="555555"/>
                <w:sz w:val="18"/>
                <w:szCs w:val="18"/>
              </w:rPr>
              <w:t xml:space="preserve">: 소변경신청서 제출만으로도 상대방에게 불리하게 되는 한도에서 부대항소한 것으로 의제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부대항소장 미제출 → 의제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부대항소장을 제출하지 않고 소변경신청서를 제출하여도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상대방에게 불리하게 되는 한도에서 부대항소를 한 것으로 의제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된다.</w:t>
            </w:r>
          </w:p>
        </w:tc>
      </w:tr>
    </w:tbl>
    <w:p>
      <w:pPr>
        <w:pBdr>
          <w:bottom w:val="single" w:color="2E75B6" w:sz="4" w:space="1"/>
        </w:pBdr>
        <w:spacing w:after="14" w:before="44"/>
      </w:pPr>
      <w:r>
        <w:rPr>
          <w:b/>
          <w:bCs/>
          <w:color w:val="2E75B6"/>
          <w:sz w:val="20"/>
          <w:szCs w:val="20"/>
        </w:rPr>
        <w:t xml:space="preserve">▶ 논점 37. 기판력 사례풀이 구조 ★★★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사례풀이 순서: 발·작·법·주·객·시 (별 5개)</w:t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[1] 기판력의 발생요건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원칙</w:t>
            </w:r>
            <w:r>
              <w:rPr>
                <w:color w:val="555555"/>
                <w:sz w:val="18"/>
                <w:szCs w:val="18"/>
              </w:rPr>
              <w:t xml:space="preserve">: 유효한 종국판결이 확정 → 기판력 발생 / 무효인 판결에는 기판력 발생 X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무효판결 유형: 재·망·적·계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재</w:t>
            </w:r>
            <w:r>
              <w:rPr>
                <w:color w:val="555555"/>
                <w:sz w:val="18"/>
                <w:szCs w:val="18"/>
              </w:rPr>
              <w:t xml:space="preserve">: 재판권 없는 자에 대한 판결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망</w:t>
            </w:r>
            <w:r>
              <w:rPr>
                <w:color w:val="555555"/>
                <w:sz w:val="18"/>
                <w:szCs w:val="18"/>
              </w:rPr>
              <w:t xml:space="preserve">: 제소 전 사망한 자에 대한 판결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적</w:t>
            </w:r>
            <w:r>
              <w:rPr>
                <w:color w:val="555555"/>
                <w:sz w:val="18"/>
                <w:szCs w:val="18"/>
              </w:rPr>
              <w:t xml:space="preserve">: 당사자적격 없는 자가 받은 판결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계</w:t>
            </w:r>
            <w:r>
              <w:rPr>
                <w:color w:val="555555"/>
                <w:sz w:val="18"/>
                <w:szCs w:val="18"/>
              </w:rPr>
              <w:t xml:space="preserve">: 소송계속 소멸함을 간과한 판결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/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[2] 기판력의 작용여부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검토</w:t>
            </w:r>
            <w:r>
              <w:rPr>
                <w:color w:val="555555"/>
                <w:sz w:val="18"/>
                <w:szCs w:val="18"/>
              </w:rPr>
              <w:t xml:space="preserve">: 주관적·객관적·시적 범위 각각 검토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[3] 법원의 조치 — 기판력의 본질 (모순금지설)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승소원고 재소</w:t>
            </w:r>
            <w:r>
              <w:rPr>
                <w:color w:val="555555"/>
                <w:sz w:val="18"/>
                <w:szCs w:val="18"/>
              </w:rPr>
              <w:t xml:space="preserve">: 권리보호이익 X → 소 각하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패소원고 재소</w:t>
            </w:r>
            <w:r>
              <w:rPr>
                <w:color w:val="555555"/>
                <w:sz w:val="18"/>
                <w:szCs w:val="18"/>
              </w:rPr>
              <w:t xml:space="preserve">: 모순된 판단을 금지하는 효력 → 청구 기각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선결문제</w:t>
            </w:r>
            <w:r>
              <w:rPr>
                <w:color w:val="555555"/>
                <w:sz w:val="18"/>
                <w:szCs w:val="18"/>
              </w:rPr>
              <w:t xml:space="preserve">: 전소 기판력 있는 판단을 전제하여 본안판결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기판력의 본질 — 모순금지설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기판력을 후소법원에 대해 전소 확정판결과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모순된 판단을 금지하는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이라고 보는바(모순금지설), 전소 승소 원고의 소 제기는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권리보호이익 없어 소 각하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, 패소 원고의 소 제기는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모순된 판단을 금지하는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으로 인해 청구기각한다.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[4] 주관적 범위 → 논점 38 참조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[5] 객관적 범위 (제216조)</w:t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발생범위: 주문 / 예외: 상계항변 | 작용범위: 동·선·모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발생범위</w:t>
            </w:r>
            <w:r>
              <w:rPr>
                <w:color w:val="555555"/>
                <w:sz w:val="18"/>
                <w:szCs w:val="18"/>
              </w:rPr>
              <w:t xml:space="preserve">: &lt;주문에 포함된 것에 한하여&gt; 기판력 / &lt;판결 이유 중의 판단&gt;에는 발생 X (제216조①)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예외</w:t>
            </w:r>
            <w:r>
              <w:rPr>
                <w:color w:val="555555"/>
                <w:sz w:val="18"/>
                <w:szCs w:val="18"/>
              </w:rPr>
              <w:t xml:space="preserve">: 상계항변 → 기판력 발생 (제216조②)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작용범위 — 동·선·모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동</w:t>
            </w:r>
            <w:r>
              <w:rPr>
                <w:color w:val="555555"/>
                <w:sz w:val="18"/>
                <w:szCs w:val="18"/>
              </w:rPr>
              <w:t xml:space="preserve">: 동일 소송물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선</w:t>
            </w:r>
            <w:r>
              <w:rPr>
                <w:color w:val="555555"/>
                <w:sz w:val="18"/>
                <w:szCs w:val="18"/>
              </w:rPr>
              <w:t xml:space="preserve">: 전소 소송물이 후소의 선결문제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모</w:t>
            </w:r>
            <w:r>
              <w:rPr>
                <w:color w:val="555555"/>
                <w:sz w:val="18"/>
                <w:szCs w:val="18"/>
              </w:rPr>
              <w:t xml:space="preserve">: 전소·후소 소송물이 모순관계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[6] 시적범위 — 기판력의 실권효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원칙</w:t>
            </w:r>
            <w:r>
              <w:rPr>
                <w:color w:val="555555"/>
                <w:sz w:val="18"/>
                <w:szCs w:val="18"/>
              </w:rPr>
              <w:t xml:space="preserve">: 사실심 변론종결 전에 당사자가 주장했거나 할 수 있었던 공격방어방법은 &lt;기판력의 실권효&gt;에 의해 차단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객관적 범위 — 주문 한정 (제216조①)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주문에 포함된 것에 한하여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기판력을 가지며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판결 이유 중의 판단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에는 생기지 않는다(민소법 제216조 제1항). 다만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상계항변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은 예외(제216조②).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시적범위 — 실권효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사실심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변론종결 시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를 기준으로, 그 전에 당사자가 주장했거나 할 수 있었던 공격방어방법은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기판력의 실권효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 의해 차단된다.</w:t>
            </w:r>
          </w:p>
        </w:tc>
      </w:tr>
    </w:tbl>
    <w:p>
      <w:pPr>
        <w:pBdr>
          <w:bottom w:val="single" w:color="2E75B6" w:sz="4" w:space="1"/>
        </w:pBdr>
        <w:spacing w:after="14" w:before="44"/>
      </w:pPr>
      <w:r>
        <w:rPr>
          <w:b/>
          <w:bCs/>
          <w:color w:val="2E75B6"/>
          <w:sz w:val="20"/>
          <w:szCs w:val="20"/>
        </w:rPr>
        <w:t xml:space="preserve">▶ 논점 38. 기판력의 주관적 범위 ★★</w:t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006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원칙: 당사자(제218조①) / 예외: 제218조①②③항</w:t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[1] 원칙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조문</w:t>
            </w:r>
            <w:r>
              <w:rPr>
                <w:color w:val="555555"/>
                <w:sz w:val="18"/>
                <w:szCs w:val="18"/>
              </w:rPr>
              <w:t xml:space="preserve">: 기판력은 &lt;당사자&gt;에게만 미치고 제3자에게는 미치지 않는 것이 원칙 (제218조①)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취지</w:t>
            </w:r>
            <w:r>
              <w:rPr>
                <w:color w:val="555555"/>
                <w:sz w:val="18"/>
                <w:szCs w:val="18"/>
              </w:rPr>
              <w:t xml:space="preserve">: &lt;제3자의 절차권 침해 방지&gt;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주관적 범위 원칙 (제218조①)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기판력은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당사자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에게만 미치고 제3자에게는 미치지 않는 것이 원칙이다(제218조 제1항).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제3자의 절차권 침해 방지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취지.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[2] 변론종결 뒤의 승계인 (제218조①)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의의</w:t>
            </w:r>
            <w:r>
              <w:rPr>
                <w:color w:val="555555"/>
                <w:sz w:val="18"/>
                <w:szCs w:val="18"/>
              </w:rPr>
              <w:t xml:space="preserve">: 확정판결의 기판력은 &lt;변론종결한 뒤의 승계인&gt;에 대하여 효력이 미침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(1) 변론종결 뒤 시점 판단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부동산</w:t>
            </w:r>
            <w:r>
              <w:rPr>
                <w:color w:val="555555"/>
                <w:sz w:val="18"/>
                <w:szCs w:val="18"/>
              </w:rPr>
              <w:t xml:space="preserve">: 부동산물권변동의 효력이 생기는 때 = &lt;소유권이전등기&gt;가 이루어진 시점 기준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가등기+본등기</w:t>
            </w:r>
            <w:r>
              <w:rPr>
                <w:color w:val="555555"/>
                <w:sz w:val="18"/>
                <w:szCs w:val="18"/>
              </w:rPr>
              <w:t xml:space="preserve">: 가등기: 변종 전 / 본등기: 변종 후 → 변종후 승계인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채권양수인</w:t>
            </w:r>
            <w:r>
              <w:rPr>
                <w:color w:val="555555"/>
                <w:sz w:val="18"/>
                <w:szCs w:val="18"/>
              </w:rPr>
              <w:t xml:space="preserve">: 채권양도 합의 시 X → &lt;대항요건이 갖추어진 때&gt; 기준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(2) 승계인 해당 여부 — 소·계·방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소</w:t>
            </w:r>
            <w:r>
              <w:rPr>
                <w:color w:val="555555"/>
                <w:sz w:val="18"/>
                <w:szCs w:val="18"/>
              </w:rPr>
              <w:t xml:space="preserve">: &lt;소송물인 실체법상의 권리의무를 승계한 자&gt; (물권·채권 불문)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계</w:t>
            </w:r>
            <w:r>
              <w:rPr>
                <w:color w:val="555555"/>
                <w:sz w:val="18"/>
                <w:szCs w:val="18"/>
              </w:rPr>
              <w:t xml:space="preserve">: 물권적 청구권 = 대세적 효력 → 승계인 O / 채권적 청구권 = 대인적 효력 → 승계인 X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방</w:t>
            </w:r>
            <w:r>
              <w:rPr>
                <w:color w:val="555555"/>
                <w:sz w:val="18"/>
                <w:szCs w:val="18"/>
              </w:rPr>
              <w:t xml:space="preserve">: 고유한 방어방법 있는 경우 → &lt;실질설&gt; → 실질적 승계 X → 승계인 해당 X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추가 유형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추정승계인</w:t>
            </w:r>
            <w:r>
              <w:rPr>
                <w:color w:val="555555"/>
                <w:sz w:val="18"/>
                <w:szCs w:val="18"/>
              </w:rPr>
              <w:t xml:space="preserve">: 변종 전 승계했으나 진술 X → 변종후 승계인으로 추정 → 기판력 O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목적물 소지인</w:t>
            </w:r>
            <w:r>
              <w:rPr>
                <w:color w:val="555555"/>
                <w:sz w:val="18"/>
                <w:szCs w:val="18"/>
              </w:rPr>
              <w:t xml:space="preserve">: 청구의 목적물의 소지인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채권양수인 기준시 — 대항요건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채권양수인의 경우 채권양도의 합의가 이루어진 때가 아니라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대항요건이 갖추어진 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를 기준으로 판단하여야 한다고 본다.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물권/채권 구분 — 계쟁물 당사자적격 승계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구소송물이론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에 따라 원고의 청구권이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물권적 청구권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인 경우에는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대세적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 있으므로 승계인의 범위에 포함되지만,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채권적 청구권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인 경우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대인적 효력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밖에 없으므로 승계인에 포함되지 않는다.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고유방어방법 — 실질설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판례는 구소송물이론의 입장에서 승계인이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고유한 방어방법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을 갖고 있다면,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실질적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으로 당사자의 지위를 승계했다고 말할 수 없으므로 제218조 제1항의 변론종결 뒤의 승계인에 해당하지 않는다고 보는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실질설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의 입장이다.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[3] 제3자법정소송담당 (제218조③)</w:t>
            </w:r>
          </w:p>
          <w:p>
            <w:pPr>
              <w:spacing w:after="0" w:before="6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(1) 채권자대위소송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원칙</w:t>
            </w:r>
            <w:r>
              <w:rPr>
                <w:color w:val="555555"/>
                <w:sz w:val="18"/>
                <w:szCs w:val="18"/>
              </w:rPr>
              <w:t xml:space="preserve">: 채대소송 제기 사실을 &lt;채무자가 알았을 경우&gt;에만 채무자에게 기판력 미침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pBdr>
                <w:top w:val="none" w:color="FFFFFF" w:sz="0"/>
                <w:left w:val="single" w:color="1F3864" w:sz="12" w:space="4"/>
                <w:bottom w:val="none" w:color="FFFFFF" w:sz="0"/>
                <w:right w:val="none" w:color="FFFFFF" w:sz="0"/>
              </w:pBdr>
              <w:shd w:fill="FCE4D6" w:val="clear"/>
              <w:spacing w:after="10" w:before="14"/>
              <w:ind w:left="10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✶ 채무자 소 판결 → 채권자 기판력 여부: 기·대·법 + 당·다·실·동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기판력</w:t>
            </w:r>
            <w:r>
              <w:rPr>
                <w:color w:val="555555"/>
                <w:sz w:val="18"/>
                <w:szCs w:val="18"/>
              </w:rPr>
              <w:t xml:space="preserve">: &lt;당사자가 다르지만 실질상 동일한 소송&gt;으로 기판력이 미침 (당다실동)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case1</w:t>
            </w:r>
            <w:r>
              <w:rPr>
                <w:color w:val="555555"/>
                <w:sz w:val="18"/>
                <w:szCs w:val="18"/>
              </w:rPr>
              <w:t xml:space="preserve">: 채무자 패소 → 권리불행사 X → 대위요건 흠결 → 각하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case2</w:t>
            </w:r>
            <w:r>
              <w:rPr>
                <w:color w:val="555555"/>
                <w:sz w:val="18"/>
                <w:szCs w:val="18"/>
              </w:rPr>
              <w:t xml:space="preserve">: 제3채무자가 채무자에게 소제기하여 승소 → 이행불능 → 피보전권리 X → 각하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법원조치</w:t>
            </w:r>
            <w:r>
              <w:rPr>
                <w:color w:val="555555"/>
                <w:sz w:val="18"/>
                <w:szCs w:val="18"/>
              </w:rPr>
              <w:t xml:space="preserve">: &lt;소송요건 선순위성 원칙&gt; → 소 각하 우선</w:t>
            </w:r>
          </w:p>
          <w:p>
            <w:pPr>
              <w:spacing w:after="0" w:before="8"/>
            </w:pPr>
            <w:r>
              <w:t xml:space="preserve"/>
            </w:r>
          </w:p>
          <w:p>
            <w:pPr>
              <w:spacing w:after="6" w:before="2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(2) 채권자취소소송</w:t>
            </w:r>
          </w:p>
          <w:p>
            <w:pPr>
              <w:spacing w:after="0" w:before="8"/>
              <w:ind w:left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· 기판력</w:t>
            </w:r>
            <w:r>
              <w:rPr>
                <w:color w:val="555555"/>
                <w:sz w:val="18"/>
                <w:szCs w:val="18"/>
              </w:rPr>
              <w:t xml:space="preserve">: 소송물 = &lt;채권자 자신의 채권자취소권&gt; → 각 채권자의 권리는 &lt;서로 별개&gt; → 기판력 X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채대소송 — 기판력 당다실동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채권자대위소송에서 채무자가 제3채무자에 대하여 제기한 소송의 판결은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당사자가 다르지만 실질상 동일한 소송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으로 기판력이 미친다.</w:t>
            </w:r>
          </w:p>
          <w:p>
            <w:pPr>
              <w:spacing w:after="0" w:before="14"/>
            </w:pPr>
            <w:r>
              <w:t xml:space="preserve"/>
            </w:r>
          </w:p>
          <w:p>
            <w:pPr>
              <w:spacing w:after="4" w:before="1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▷ 채권자취소소송 기판력</w:t>
            </w:r>
          </w:p>
          <w:p>
            <w:pPr>
              <w:pBdr>
                <w:top w:val="single" w:color="FFE0A0" w:sz="1" w:space="1"/>
                <w:left w:val="single" w:color="C00000" w:sz="12" w:space="4"/>
                <w:bottom w:val="single" w:color="FFE0A0" w:sz="1" w:space="1"/>
                <w:right w:val="none" w:color="FFFFFF" w:sz="0"/>
              </w:pBdr>
              <w:shd w:fill="FFFACD" w:val="clear"/>
              <w:spacing w:after="0" w:before="0"/>
              <w:ind w:left="12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채권자취소소송의 소송물은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채권자 자신의 채권자취소권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이므로 각 채권자의 채권자취소권은 </w:t>
            </w:r>
            <w:r>
              <w:rPr>
                <w:b/>
                <w:bCs/>
                <w:i/>
                <w:iCs/>
                <w:color w:val="7B0000"/>
                <w:sz w:val="16"/>
                <w:szCs w:val="16"/>
              </w:rPr>
              <w:t xml:space="preserve">서로 별개의 권리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이기 때문에 기판력 미치지 않음.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6"/>
      </w:tblGrid>
      <w:tr>
        <w:tc>
          <w:tcPr>
            <w:tcW w:type="dxa" w:w="10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【3. 오늘 질문 요약】</w:t>
            </w:r>
          </w:p>
        </w:tc>
      </w:tr>
    </w:tbl>
    <w:p>
      <w:pPr>
        <w:spacing w:after="0" w:before="20"/>
      </w:pPr>
      <w:r>
        <w:rPr>
          <w:i/>
          <w:iCs/>
          <w:color w:val="555555"/>
          <w:sz w:val="16"/>
          <w:szCs w:val="16"/>
        </w:rPr>
        <w:t xml:space="preserve">※ 오늘은 별도 질문 없이 사례 풀이 데이터 입력만 진행됨.</w:t>
      </w:r>
    </w:p>
    <w:p>
      <w:pPr>
        <w:spacing w:after="0" w:before="60"/>
      </w:pPr>
      <w:r>
        <w:t xml:space="preserve"/>
      </w:r>
    </w:p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6"/>
      </w:tblGrid>
      <w:tr>
        <w:tc>
          <w:tcPr>
            <w:tcW w:type="dxa" w:w="10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■ 오늘의 공부 레포트 | 2026-05-13</w:t>
            </w:r>
          </w:p>
        </w:tc>
      </w:tr>
    </w:tbl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70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공부 범위</w:t>
            </w:r>
          </w:p>
        </w:tc>
        <w:tc>
          <w:tcPr>
            <w:tcW w:type="dxa" w:w="8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논점 33 보완 — 재소금지 의의 상세화 / 교환적 변경 현출 주의사항 / 추가적 변경·부대항소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논점 37 — 기판력 사례풀이 구조 (발·작·법·주·객·시) / 무효판결 유형 (재·망·적·계)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논점 38 — 기판력 주관적 범위 (승계인 5유형·채대소·채취소)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핵심 깨달음</w:t>
            </w:r>
          </w:p>
        </w:tc>
        <w:tc>
          <w:tcPr>
            <w:tcW w:type="dxa" w:w="8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⚠ 항소심 교환적 변경: 냅다 '교환적 변경'이라 쓰지 말 것 — 구소송물이론 근거(실체법상 권리=소송물) → 청구변경 해당 → 결합설(구소취하+신소제기) → 재소금지 순서 필수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기판력 사례틀: 발·작·법·주·객·시 — 이 순서를 지켜 검토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채대소 기판력: 당·다·실·동(O) vs 채권자취소소송: 별개의 권리(X) — 대비 암기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보완된 기존 자료</w:t>
            </w:r>
          </w:p>
        </w:tc>
        <w:tc>
          <w:tcPr>
            <w:tcW w:type="dxa" w:w="8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v5 논점 33 — 재소금지 의의 ①② 상세 문구 추가 (v6 반영)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v5 논점 33 — 교환적 변경 현출 주의사항 신규 추가 (v6 반영)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v5 논점 33 — 청구의 추가적 변경[3] / 부대항소[4] 신규 추가 (v6 반영)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v5 → v6에 논점 37·38 신규 추가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복습 필요</w:t>
            </w:r>
          </w:p>
        </w:tc>
        <w:tc>
          <w:tcPr>
            <w:tcW w:type="dxa" w:w="8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① 교환적 변경 현출 순서 — 실전 반복 연습 (3단계: 구소송물이론 → 청구변경 → 재소금지)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② 부대항소 적법요건 두문자: 주적·피항·변전·부제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③ 승계인 소·계·방 — 물권/채권 구분 판례 반복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오늘의 총평</w:t>
            </w:r>
          </w:p>
        </w:tc>
        <w:tc>
          <w:tcPr>
            <w:tcW w:type="dxa" w:w="8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사례 풀이 중 교환적 변경 현출 순서 오류 발견·즉시 교정. 기판력 핵심 논점(37·38) 구조 완성.</w:t>
            </w:r>
          </w:p>
          <w:p>
            <w:pPr>
              <w:spacing w:after="6" w:before="0"/>
            </w:pPr>
            <w:r>
              <w:rPr>
                <w:color w:val="555555"/>
                <w:sz w:val="16"/>
                <w:szCs w:val="16"/>
              </w:rPr>
              <w:t xml:space="preserve">v5 찌라시 수정 보완 → v6으로 업데이트 완료.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jc w:val="center"/>
      </w:pPr>
      <w:r>
        <w:rPr>
          <w:i/>
          <w:iCs/>
          <w:color w:val="555555"/>
          <w:sz w:val="16"/>
          <w:szCs w:val="16"/>
        </w:rPr>
        <w:t xml:space="preserve">※ 복습용·프로젝트1 첨삭용·프로젝트3 퀴즈용 겸용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2026-05-13T05:31:26.847Z</dcterms:created>
  <dcterms:modified xsi:type="dcterms:W3CDTF">2026-05-13T05:31:26.847Z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