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60" w:before="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민법총칙 찌라시  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2026.05.25 (견본)</w:t>
      </w:r>
    </w:p>
    <w:p>
      <w:pPr>
        <w:shd w:fill="1F3864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Ⅰ. 신의칙 계열</w:t>
      </w:r>
    </w:p>
    <w:p>
      <w:pPr>
        <w:spacing w:after="30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1. 관습법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성립요건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관행 + 법적확신 + 정당성과 합리성</w:t>
            </w:r>
          </w:p>
          <w:p>
            <w:pPr>
              <w:spacing w:after="10" w:before="0"/>
            </w:pPr>
          </w:p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종중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자연발생적인 종족 집단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44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2. 권리남용의 원칙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요건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객관적: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권리의 존재 및 행사 + 실질적인 사회질서 위반</w:t>
            </w:r>
          </w:p>
          <w:p>
            <w:pPr>
              <w:spacing w:after="4" w:before="4"/>
              <w:ind w:left="360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- 이익형량·전략적 행동 유무·귀책성 종합 고려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두문자: 이.전.귀</w:t>
                  </w:r>
                </w:p>
              </w:tc>
            </w:tr>
          </w:tbl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· 주관적: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상대방에게 고통·손해를 주려는 가해의사</w:t>
            </w:r>
          </w:p>
          <w:p>
            <w:pPr>
              <w:spacing w:after="4" w:before="4"/>
              <w:ind w:left="360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- 주관적 요건은 권리자의 정당한 이익 결여라는 객관적 요건에 의해 추인 가능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44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3. 실효의 원칙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요건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상당 기간 권리 불행사 + 상대방의 신뢰 + 새삼 권리 행사 기대불가능 + 행사제한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두문자: 상.신.기행.</w:t>
                  </w:r>
                </w:p>
              </w:tc>
            </w:tr>
          </w:tbl>
          <w:p/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44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4. 사정변경의 원칙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요건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객관적 사정 + 현저히 변경 + 당초 내용대로 강제하는 것이 명백하게 부당 + 수정 or 불가능한 경우 해소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두문자: 객.현.명.수.해</w:t>
                  </w:r>
                </w:p>
              </w:tc>
            </w:tr>
          </w:tbl>
          <w:p/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44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5. 모순행위금지(금반언) · 신의칙 한계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신의칙 적용 한계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신의칙 적용으로 강행법규의 입법취지를 완전히 몰각시키는 경우 → 신의칙 적용 허용 X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합법성의 원칙 &gt; 신의성실의 원칙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60" w:before="0"/>
      </w:pPr>
    </w:p>
    <w:p>
      <w:pPr>
        <w:shd w:fill="1F3864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Ⅱ. 반사회질서행위 (§103)</w:t>
      </w:r>
    </w:p>
    <w:p>
      <w:pPr>
        <w:spacing w:after="30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6. 부동산 이중매매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원칙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계약자유의 원칙 → 유효</w:t>
            </w:r>
          </w:p>
          <w:p>
            <w:pPr>
              <w:spacing w:after="8" w:before="0"/>
            </w:pPr>
          </w:p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예외 — 무효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제2매수인이 매도인의 배임행위에 적극 가담</w:t>
            </w:r>
          </w:p>
          <w:p>
            <w:pPr>
              <w:spacing w:after="4" w:before="4"/>
              <w:ind w:left="360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- → 정의관념에 반하는 반사회질서 행위로서 무효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이중매매 판례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&lt;제2매수인 적극 가담 → 반사회질서 무효&gt;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shd w:fill="1F3864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Ⅲ. 취득시효</w:t>
      </w:r>
    </w:p>
    <w:p>
      <w:pPr>
        <w:spacing w:after="30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7. 미분필 토지의 취득시효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요건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다른 부분과 구분 + 점유 인식에 충분한 징표 + 징표의 계속 존속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두문자: 구.징.계</w:t>
                  </w:r>
                </w:p>
              </w:tc>
            </w:tr>
          </w:tbl>
          <w:p/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미분필 토지 시효취득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&lt;구분·징표·계속 존속 → 취득시효 인정&gt;</w:t>
                  </w:r>
                </w:p>
              </w:tc>
            </w:tr>
          </w:tbl>
          <w:p/>
        </w:tc>
      </w:tr>
    </w:tbl>
    <w:p>
      <w:pPr>
        <w:spacing w:after="60" w:before="0"/>
      </w:pPr>
    </w:p>
    <w:p>
      <w:pPr>
        <w:shd w:fill="1F3864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Ⅳ. 권리능력</w:t>
      </w:r>
    </w:p>
    <w:p>
      <w:pPr>
        <w:spacing w:after="30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8. 태아의 권리능력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인정 범위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불법행위 · 상속 · 유증 · 인지 O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사인증여 X  (계약이므로)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두문자: 불.상.유.인.  (사인증여 X)</w:t>
                  </w:r>
                </w:p>
              </w:tc>
            </w:tr>
          </w:tbl>
          <w:p/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태아 권리능력 — 정지조건설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정지조건설과 해제조건설이 대립하나 판례는 특정한 권리에 있어서 태아가 권리를 취득한다고 하더라도 현행법상 이를 대행할 기관이 없어 태아로 있는 동안은 권리능력을 취득할 수 없다고 하여 정지조건설.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&lt;정지조건설&gt;</w:t>
                  </w:r>
                </w:p>
              </w:tc>
            </w:tr>
          </w:tbl>
          <w:p/>
        </w:tc>
      </w:tr>
    </w:tbl>
    <w:p>
      <w:pPr>
        <w:spacing w:after="44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9. 의사무능력자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판단 기준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구체적·개별적으로 판단</w:t>
            </w:r>
          </w:p>
          <w:p>
            <w:pPr>
              <w:spacing w:after="4" w:before="4"/>
              <w:ind w:left="360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- 행위의 일상적 의미뿐 아니라 법률적 의미·효과에 대하여도 이해할 수 있을 것을 요함 (판례)</w:t>
            </w:r>
          </w:p>
          <w:p>
            <w:pPr>
              <w:spacing w:after="8" w:before="0"/>
            </w:pPr>
          </w:p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효과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법률행위 무효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§141 단서 유추적용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</w:tbl>
    <w:p>
      <w:pPr>
        <w:spacing w:after="60" w:before="0"/>
      </w:pPr>
    </w:p>
    <w:p>
      <w:pPr>
        <w:shd w:fill="1F3864" w:val="clear"/>
        <w:spacing w:after="60" w:before="6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Ⅴ. 제한능력자 — 미성년자</w:t>
      </w:r>
    </w:p>
    <w:p>
      <w:pPr>
        <w:spacing w:after="30" w:before="0"/>
      </w:pPr>
    </w:p>
    <w:p>
      <w:pPr>
        <w:pBdr>
          <w:bottom w:val="single" w:color="2E75B6" w:sz="4" w:space="1"/>
        </w:pBdr>
        <w:spacing w:after="22" w:before="50"/>
      </w:pPr>
      <w:r>
        <w:rPr>
          <w:rFonts w:ascii="맑은 고딕" w:cs="맑은 고딕" w:eastAsia="맑은 고딕" w:hAnsi="맑은 고딕"/>
          <w:b/>
          <w:bCs/>
          <w:color w:val="2E75B6"/>
          <w:sz w:val="20"/>
          <w:szCs w:val="20"/>
        </w:rPr>
        <w:t xml:space="preserve">10. 미성년자의 법률행위</w:t>
      </w:r>
    </w:p>
    <w:tbl>
      <w:tblPr>
        <w:tblW w:type="dxa" w:w="10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0"/>
        <w:gridCol w:w="6606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① 제도 취지 (강행규정)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제한능력자제도 — 강행규정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&lt;거래안전 희생 감수, 본인보호 → 강행규정&gt;</w:t>
                  </w:r>
                </w:p>
              </w:tc>
            </w:tr>
          </w:tbl>
          <w:p/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② 법정대리인 동의 (§5①)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동의 없이 한 행위 → 본인 or 법정대리인 취소 가능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묵시적 동의 가능</w:t>
            </w:r>
          </w:p>
          <w:p>
            <w:pPr>
              <w:spacing w:after="4" w:before="4"/>
              <w:ind w:left="360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- 유무 기준: ⑴ 독자적 소득 범위  ⑵ 계약의 내용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법정대리인 동의·묵시적 동의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미성년자가 법률행위를 함에는 법정대리인의 동의를 얻어야 하는바(§5① 본문) 이는 묵시적으로도 가능하나, 미성년자가 동의를 얻지 않고 한 행위는 미성년자 본인 또는 법정대리인이 취소할 수 있다.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&lt;묵시적 동의 가능, 무동의 행위 → 취소&gt;</w:t>
                  </w:r>
                </w:p>
              </w:tc>
            </w:tr>
          </w:tbl>
          <w:p/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③ 신용카드 이용계약 취소 시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매매계약은 유효하게 존속</w:t>
            </w:r>
          </w:p>
          <w:p>
            <w:pPr>
              <w:spacing w:after="6" w:before="6"/>
              <w:ind w:left="160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·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반환 대상: 면제받은 물품대금채무 상당액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/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④ 법정대리권 범위 (§920)</w:t>
            </w:r>
          </w:p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법정대리권 범위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법정대리의 경우는 원칙적으로 대리권의 범위에 제한이 없다(§920).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&lt;법정대리: 대리권 범위 무제한 원칙&gt;</w:t>
                  </w:r>
                </w:p>
              </w:tc>
            </w:tr>
          </w:tbl>
          <w:p/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after="8" w:before="1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⑤ 이해상반행위</w:t>
            </w:r>
          </w:p>
          <w:tbl>
            <w:tblPr>
              <w:tblW w:type="dxa" w:w="3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60"/>
            </w:tblGrid>
            <w:tr>
              <w:tc>
                <w:tcPr>
                  <w:tcW w:type="dxa" w:w="3960"/>
                  <w:tcBorders>
                    <w:top w:val="none" w:color="FFFFFF" w:sz="0"/>
                    <w:left w:val="single" w:color="1F3864" w:sz="12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판단: 형식적 판단설  (객.이.의.실.형)</w:t>
                  </w:r>
                </w:p>
              </w:tc>
            </w:tr>
          </w:tbl>
          <w:p/>
        </w:tc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tbl>
            <w:tblPr>
              <w:tblW w:type="dxa" w:w="65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66"/>
            </w:tblGrid>
            <w:tr>
              <w:tc>
                <w:tcPr>
                  <w:tcW w:type="dxa" w:w="6566"/>
                  <w:tcBorders>
                    <w:top w:val="none" w:color="FFFFFF" w:sz="0"/>
                    <w:left w:val="single" w:color="C00000" w:sz="12"/>
                    <w:bottom w:val="none" w:color="FFFFFF" w:sz="0"/>
                    <w:right w:val="none" w:color="FFFFFF" w:sz="0"/>
                  </w:tcBorders>
                  <w:shd w:fill="FFFACD" w:val="clear"/>
                  <w:tcMar>
                    <w:top w:type="dxa" w:w="55"/>
                    <w:left w:type="dxa" w:w="120"/>
                    <w:bottom w:type="dxa" w:w="55"/>
                    <w:right w:type="dxa" w:w="80"/>
                  </w:tcMar>
                </w:tcPr>
                <w:p>
                  <w:pPr>
                    <w:spacing w:after="4" w:before="6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▷ 이해상반행위 판단기준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i/>
                      <w:iCs/>
                      <w:color w:val="555555"/>
                      <w:sz w:val="16"/>
                      <w:szCs w:val="16"/>
                    </w:rPr>
                    <w:t xml:space="preserve">행위의 객관적 성질상 친권자와 자 사이에 이해의 대립이 생길 우려가 있는 행위를 의미하며 친권자의 의도나 실질적으로 이해의 대립이 생겼는가는 묻지 않는다고 하여 형식적 판단설의 입장이다.</w:t>
                  </w:r>
                </w:p>
                <w:p>
                  <w:pPr>
                    <w:spacing w:after="4" w:before="4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&lt;객관적 성질·이해 대립 우려 → 형식적 판단&gt;</w:t>
                  </w:r>
                </w:p>
              </w:tc>
            </w:tr>
          </w:tbl>
          <w:p/>
        </w:tc>
      </w:tr>
    </w:tbl>
    <w:p>
      <w:pPr>
        <w:spacing w:after="40" w:before="0"/>
      </w:pPr>
    </w:p>
    <w:p>
      <w:pPr>
        <w:spacing w:after="0" w:before="4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── 민법총칙 찌라시 (견본) ──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2026-05-25T12:40:11.466Z</dcterms:created>
  <dcterms:modified xsi:type="dcterms:W3CDTF">2026-05-25T12:40:11.466Z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