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상소 핵심 찌라시</w:t>
      </w:r>
    </w:p>
    <w:p>
      <w:pPr>
        <w:spacing w:after="300" w:before="0"/>
        <w:jc w:val="center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출처: 박승수 민소법 암기장 │ 2026.05.16</w:t>
      </w: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PART 1 │ 오개념 정정 (출처: 박승수 민소법 암기장)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80"/>
        <w:gridCol w:w="428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오개념 유형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✗ 틀린 이해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✓ 암기장 정확한 법리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① 상계항변 - 피고 항소 시 제414조 제2항 적용 여부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수동채권 부존재 → 제414조 제2항(이유만 교체)으로 항소기각 가능하다.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제414조 제2항 적용 불가. 상계의 항변에는 기판력(제216조 제2항)이 생기므로 결론이 같은 청구기각이라도 기판력 범위가 달라짐. → 반드시 항소인용·1심취소·청구기각의 자판을 해야 함. (암기장 p.178, p.184)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② 상계항변 - 자동채권 부존재 판단 시 피고 항소 결과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자동채권 부존재 → 항소인용 후 청구기각 자판.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수동채권만 심판대상(불이익변경금지). 자동채권 부존재이면 수동채권 존재의 1심판결이 정당 → 항소기각 판결. 자동채권으로 판결하면 불이익변경금지 위반. (암기장 p.187)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③ 묵시적 일부청구 - 전부승소 원고의 항소이익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명시적·묵시적 일부청구 모두 전부승소 시 항소이익 없음.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묵시적 일부청구만 잔부청구 후소가 기판력에 의해 차단됨 → 추가청구(청구취지 확장)를 위한 항소이익 예외적 인정. 명시적 일부청구는 잔부 후소 허용되므로 항소이익 없음. (암기장 p.184)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④ 소각하 판결 후 항소심에서 청구기각 가부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소각하보다 청구기각이 더 실질적인 판단이므로 청구기각 허용.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소각하 판결보다 청구기각이 원고에게 불리 → 불이익변경금지 원칙상 청구기각 불허, 항소기각 판결을 해야 함(항소기각설). (암기장 p.187)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PART 2 │ 핵심 개념 비교표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90"/>
        <w:gridCol w:w="2190"/>
        <w:gridCol w:w="2190"/>
        <w:gridCol w:w="219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21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항소취지 확장</w:t>
            </w:r>
          </w:p>
        </w:tc>
        <w:tc>
          <w:tcPr>
            <w:tcW w:type="dxa" w:w="21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청구취지 확장(청구변경)</w:t>
            </w:r>
          </w:p>
        </w:tc>
        <w:tc>
          <w:tcPr>
            <w:tcW w:type="dxa" w:w="21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추가적 변경(청구변경)</w:t>
            </w:r>
          </w:p>
        </w:tc>
        <w:tc>
          <w:tcPr>
            <w:tcW w:type="dxa" w:w="21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부대항소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의의</w:t>
            </w:r>
          </w:p>
        </w:tc>
        <w:tc>
          <w:tcPr>
            <w:tcW w:type="dxa" w:w="21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패소한 부분 중 항소심 심판범위를 확장하는 것. 동일 소송물 내에서 가능.</w:t>
            </w:r>
          </w:p>
        </w:tc>
        <w:tc>
          <w:tcPr>
            <w:tcW w:type="dxa" w:w="21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제1심 소송물을 초과하여 새로운 청구를 추가하는 것. 청구변경 요건 필요.</w:t>
            </w:r>
          </w:p>
        </w:tc>
        <w:tc>
          <w:tcPr>
            <w:tcW w:type="dxa" w:w="21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구청구를 유지하며 새로운 청구 추가.</w:t>
            </w:r>
          </w:p>
        </w:tc>
        <w:tc>
          <w:tcPr>
            <w:tcW w:type="dxa" w:w="21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피항소인이 항소인의 항소에 편승하여 심판범위를 자기에게 유리하게 확장.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이심 전제</w:t>
            </w:r>
          </w:p>
        </w:tc>
        <w:tc>
          <w:tcPr>
            <w:tcW w:type="dxa" w:w="21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상소불가분 원칙으로 전부이심 되어 있어야 함.</w:t>
            </w:r>
          </w:p>
        </w:tc>
        <w:tc>
          <w:tcPr>
            <w:tcW w:type="dxa" w:w="21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전부이심 되어 있으면 가능.</w:t>
            </w:r>
          </w:p>
        </w:tc>
        <w:tc>
          <w:tcPr>
            <w:tcW w:type="dxa" w:w="21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사실심 계속 중 변론종결 전.</w:t>
            </w:r>
          </w:p>
        </w:tc>
        <w:tc>
          <w:tcPr>
            <w:tcW w:type="dxa" w:w="21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주된 항소가 적법 계속 중.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항소이익</w:t>
            </w:r>
          </w:p>
        </w:tc>
        <w:tc>
          <w:tcPr>
            <w:tcW w:type="dxa" w:w="21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필요(패소 부분이 이심되어 있고 항소이익 구비).</w:t>
            </w:r>
          </w:p>
        </w:tc>
        <w:tc>
          <w:tcPr>
            <w:tcW w:type="dxa" w:w="21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필요(청구변경 요건 중 하나).</w:t>
            </w:r>
          </w:p>
        </w:tc>
        <w:tc>
          <w:tcPr>
            <w:tcW w:type="dxa" w:w="21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필요.</w:t>
            </w:r>
          </w:p>
        </w:tc>
        <w:tc>
          <w:tcPr>
            <w:tcW w:type="dxa" w:w="21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불요(비항소설 - 판례). 전부승소자도 가능.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청구기초 동일성</w:t>
            </w:r>
          </w:p>
        </w:tc>
        <w:tc>
          <w:tcPr>
            <w:tcW w:type="dxa" w:w="21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불요(동일 소송물 내 양적 확장).</w:t>
            </w:r>
          </w:p>
        </w:tc>
        <w:tc>
          <w:tcPr>
            <w:tcW w:type="dxa" w:w="21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필요(청구변경 요건).</w:t>
            </w:r>
          </w:p>
        </w:tc>
        <w:tc>
          <w:tcPr>
            <w:tcW w:type="dxa" w:w="21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필요.</w:t>
            </w:r>
          </w:p>
        </w:tc>
        <w:tc>
          <w:tcPr>
            <w:tcW w:type="dxa" w:w="21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불요(별도 규정 없음).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시기</w:t>
            </w:r>
          </w:p>
        </w:tc>
        <w:tc>
          <w:tcPr>
            <w:tcW w:type="dxa" w:w="21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항소심 변론종결 전.</w:t>
            </w:r>
          </w:p>
        </w:tc>
        <w:tc>
          <w:tcPr>
            <w:tcW w:type="dxa" w:w="21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항소심 변론종결 전.</w:t>
            </w:r>
          </w:p>
        </w:tc>
        <w:tc>
          <w:tcPr>
            <w:tcW w:type="dxa" w:w="21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사실심 변론종결 전.</w:t>
            </w:r>
          </w:p>
        </w:tc>
        <w:tc>
          <w:tcPr>
            <w:tcW w:type="dxa" w:w="21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항소심 변론종결 전.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근거</w:t>
            </w:r>
          </w:p>
        </w:tc>
        <w:tc>
          <w:tcPr>
            <w:tcW w:type="dxa" w:w="21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제185조(상소불가분) + 불이익변경금지 배제.</w:t>
            </w:r>
          </w:p>
        </w:tc>
        <w:tc>
          <w:tcPr>
            <w:tcW w:type="dxa" w:w="21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제262조(청구변경).</w:t>
            </w:r>
          </w:p>
        </w:tc>
        <w:tc>
          <w:tcPr>
            <w:tcW w:type="dxa" w:w="21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제262조(청구변경).</w:t>
            </w:r>
          </w:p>
        </w:tc>
        <w:tc>
          <w:tcPr>
            <w:tcW w:type="dxa" w:w="21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제403조(부대항소).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F5496"/>
          <w:sz w:val="20"/>
          <w:szCs w:val="20"/>
        </w:rPr>
        <w:t xml:space="preserve">▶ 부대항소 종속성 구분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80"/>
        <w:gridCol w:w="538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종류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항소기간 경과 후 제기 여부</w:t>
            </w:r>
          </w:p>
        </w:tc>
        <w:tc>
          <w:tcPr>
            <w:tcW w:type="dxa" w:w="5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주된 항소 취하·각하 시 효력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종속적 부대항소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항소기간 경과 후 제기</w:t>
            </w:r>
          </w:p>
        </w:tc>
        <w:tc>
          <w:tcPr>
            <w:tcW w:type="dxa" w:w="5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주된 항소 취하·각하 시 부대항소도 효력 소멸(제404조 본문). 독립된 항소이익 없으면 소멸.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독립적 부대항소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항소기간 내 제기</w:t>
            </w:r>
          </w:p>
        </w:tc>
        <w:tc>
          <w:tcPr>
            <w:tcW w:type="dxa" w:w="5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주된 항소 취하·각하 시에도 독립된 항소로 존속(제404조 단서). 단, 항소이익 별도 요구 → 1심 전부승소자는 항소이익 없어 부적법.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PART 3 │ 핵심 논점 사례풀이 구조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9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논점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사례풀이 구조 (암기장 기준)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① 상계항변 + 피고 항소 (수동채권 부존재 주장)
[출처: 암기장 p.178, 187]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1. 이심의 범위: 상소불가분 원칙 → 수동채권·자동채권 전부 이심.
2. 심판의 범위: 불이익변경금지 → 수동채권만 심판대상.
3-A. 자동채권 존재, 수동채권 부존재 판단: 1심 판결 부당 → 항소인용·1심취소·청구기각 자판.
   ※ 제414조 제2항 항소기각 불가 - 상계항변에 기판력(제216조 제2항)이 달라지기 때문.
3-B. 수동채권 존재, 자동채권 부존재 판단: 자동채권은 심판 밖 → 수동채권 존재 인정한 1심 정당 → 항소기각.
   ※ 자동채권으로 판단하면 불이익변경금지 위반.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② 상계항변 + 원고 항소 (자동채권 부존재 주장)
[출처: 암기장 p.187]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1. 이심의 범위: 상소불가분 → 자동채권·수동채권 전부 이심.
2. 심판의 범위: 불이익변경금지 → 자동채권만 심판대상.
3-A. 자동채권 존재, 수동채권 부존재 판단: 수동채권은 심판 밖 → 자동채권 존재 인정한 1심 정당 → 항소기각.
3-B. 수동채권 존재, 자동채권 부존재 판단: 1심 부당 → 항소인용·1심취소·청구인용 자판.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③ 소각하 판결 → 항소심의 처리
[출처: 암기장 p.187]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원칙: 제418조 본문 - 필수적 환송(심급의 이익 보장).
예외(제418조 단서): 1심에서 본안심리가 충분히 된 경우 OR 당사자 동의 → 항소심 자판 가능.
자판 시 청구기각해야 하는 경우: 소각하보다 청구기각이 원고에게 불리 → 불이익변경금지 → 항소기각 판결(항소기각설).
상고심: 청구기각 운명이라면 불이익변경금지 적용하여 상고기각(상고기각설).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④ 제415조 단서 - 항소심에서 상계 주장 시 불이익변경금지 예외
[출처: 암기장 p.188]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원고만 항소 → 항소심에서 피고가 상계항변.
상소불가분 → 1심 소송물 전부 이심.
불이익변경금지 원칙상 원고 패소 부분만 심판대상이나,
제415조 단서: 항소심 상계 주장 인용 시 불이익변경금지 배제.
→ 전부심판대상 → 1심판결 취소·원고 청구 전부기각 판결.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⑤ 항소취하 + 부대항소의 관계
[출처: 암기장 p.182, 191]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종속적 부대항소: 주된 항소 취하·각하 시 부대항소도 소멸(제404조 본문).
독립적 부대항소(항소기간 내 제기): 주된 항소 취하·각하 시에도 독립된 항소로 존속(제404조 단서).
→ 단, 항소이익 별도 요구: 1심 전부승소자의 독립 부대항소는 항소이익 없어 부적법.
환송심에서 항소취하: 항소심 종국판결이 파기환송된 경우 종국판결 없는 상태로 복귀 → 새 종국판결 전까지 취하 가능.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⑥ 묵시적 일부청구 + 항소취지확장 + 청구취지확장 구분
[출처: 암기장 p.184, 186, 210]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묵시적 일부청구: 잔부청구 후소가 기판력에 의해 차단 → 전부승소 원고도 항소이익 예외적 인정.
항소취지 확장: 동일 소송물 내에서 심판범위 확장. 이심+항소이익 구비하면 가능. 변론종결 전까지.
청구취지 확장(청구변경): 1심 소송물 초과한 새로운 청구 → 추가적 변경. 청구기초 동일성 등 청구변경 요건 필요.
묵시적 일부청구에서 잔부청구 확장: 소송물 변동 없고 이행명령 상한 변동 → 청구변경 아님.
명시적 일부청구에서 잔부청구 확장: 소송물 다름 → 청구의 추가적 변경.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PART 4 │ 조문별 빠른 암기 요약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80"/>
        <w:gridCol w:w="428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조문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적용 상황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결론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제414조 제1항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1심 판결 정당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항소기각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제414조 제2항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이유는 부당하나 다른 이유로 결론 동일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항소기각 (단, 상계항변 기판력 범위 다를 때는 불가)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제415조 단서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항소심에서 상계 주장 인용 시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불이익변경금지 배제 → 전부심판대상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제416조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1심 판결 부당 → 항소인용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1심 취소 + 자판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제418조 본문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소각하 판결 취소 시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필수적 환송 (심급 이익 보장)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제418조 단서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소각하 취소 + 본안심리 충분 or 당사자 동의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자판 가능 (단, 청구기각 불가 → 항소기각)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제403조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부대항소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비항소설: 항소이익 불요, 항소기간 후 가능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제404조 본문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종속적 부대항소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주된 항소 취하·각하 시 소멸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제404조 단서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독립적 부대항소(기간 내 제기)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주된 항소 취하·각하 시에도 존속, 단 항소이익 필요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제216조 제2항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상계항변에 대한 기판력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인용 시 자동채권 기판력 발생 → 제414조 제2항 적용 불가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Malgun Gothic" w:cs="Malgun Gothic" w:eastAsia="Malgun Gothic" w:hAnsi="Malgun Gothic"/>
          <w:i/>
          <w:iCs/>
          <w:color w:val="595959"/>
          <w:sz w:val="16"/>
          <w:szCs w:val="16"/>
        </w:rPr>
        <w:t xml:space="preserve">※ 본 자료는 박승수 민소법 암기장(2027년판) 논점042·046을 전적으로 출처로 함.</w:t>
      </w:r>
    </w:p>
    <w:sectPr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2026-05-16T14:58:43.571Z</dcterms:created>
  <dcterms:modified xsi:type="dcterms:W3CDTF">2026-05-16T14:58:43.572Z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