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■ [2026-05-12] 민사소송법 오늘 공부 정리  |  논점 32~36</w:t>
            </w:r>
          </w:p>
        </w:tc>
      </w:tr>
    </w:tbl>
    <w:p>
      <w:pPr>
        <w:spacing w:after="0" w:before="0" w:line="50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5150"/>
      </w:tblGrid>
      <w:t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2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1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◀ 목차 구조</w:t>
            </w:r>
          </w:p>
        </w:tc>
        <w:tc>
          <w:tcPr>
            <w:tcW w:type="dxa" w:w="5150"/>
            <w:tcBorders>
              <w:top w:val="none" w:color="FFFFFF" w:sz="0"/>
              <w:left w:val="single" w:color="DDDDDD" w:sz="2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1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6"/>
                <w:szCs w:val="16"/>
              </w:rPr>
              <w:t xml:space="preserve">▶ 시험 현출용 판례 · 키워드</w:t>
            </w:r>
          </w:p>
        </w:tc>
      </w:tr>
    </w:tbl>
    <w:p>
      <w:pPr>
        <w:pBdr>
          <w:bottom w:val="single" w:color="DDDDDD" w:sz="4" w:space="1"/>
        </w:pBdr>
        <w:spacing w:after="24" w:before="24"/>
      </w:pPr>
    </w:p>
    <w:p>
      <w:pPr>
        <w:spacing w:after="0" w:before="0" w:line="30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5150"/>
      </w:tblGrid>
      <w:t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2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pBdr>
                <w:bottom w:val="single" w:color="2255AA" w:sz="6" w:space="1"/>
              </w:pBdr>
              <w:spacing w:after="16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9"/>
                <w:szCs w:val="19"/>
              </w:rPr>
              <w:t xml:space="preserve">▶ 유일한 증거 (선택형)</w:t>
            </w:r>
          </w:p>
          <w:tbl>
            <w:tblPr>
              <w:tblW w:type="dxa" w:w="49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0"/>
            </w:tblGrid>
            <w:tr>
              <w:tc>
                <w:tcPr>
                  <w:tcW w:type="dxa" w:w="495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28"/>
                    <w:left w:type="dxa" w:w="100"/>
                    <w:bottom w:type="dxa" w:w="28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F3864"/>
                      <w:sz w:val="18"/>
                      <w:szCs w:val="18"/>
                    </w:rPr>
                    <w:t xml:space="preserve">✦ 두문자: 쟁·전·이·주·본·당</w:t>
                  </w:r>
                </w:p>
              </w:tc>
            </w:tr>
          </w:tbl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쟁점단위: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판단 / 전심급 통관 판단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이미 조사한: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증거가 있느냐로 판단 (신청 개수 기준 X)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주요사실만: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문제됨 / 본증에 한함 (반증 X) / 당사자신문도 O</w:t>
            </w:r>
          </w:p>
          <w:p>
            <w:pPr>
              <w:spacing w:after="0" w:before="0" w:line="36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2255AA" w:sz="6" w:space="1"/>
              </w:pBdr>
              <w:spacing w:after="16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9"/>
                <w:szCs w:val="19"/>
              </w:rPr>
              <w:t xml:space="preserve">▶ 논점 32. 소송종료선언  ★</w:t>
            </w:r>
          </w:p>
          <w:tbl>
            <w:tblPr>
              <w:tblW w:type="dxa" w:w="49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0"/>
            </w:tblGrid>
            <w:tr>
              <w:tc>
                <w:tcPr>
                  <w:tcW w:type="dxa" w:w="495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28"/>
                    <w:left w:type="dxa" w:w="100"/>
                    <w:bottom w:type="dxa" w:w="28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F3864"/>
                      <w:sz w:val="18"/>
                      <w:szCs w:val="18"/>
                    </w:rPr>
                    <w:t xml:space="preserve">✦ 기·필·심·속·중  |  근거: 민소규 제67조</w:t>
                  </w:r>
                </w:p>
              </w:tc>
            </w:tr>
          </w:tbl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기일지정신청: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→ 필요적 변론 열어 심리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이유 있음: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→ 절차 속행  /  이유 없음 → 소송종료선언</w:t>
            </w:r>
          </w:p>
        </w:tc>
        <w:tc>
          <w:tcPr>
            <w:tcW w:type="dxa" w:w="5150"/>
            <w:tcBorders>
              <w:top w:val="none" w:color="FFFFFF" w:sz="0"/>
              <w:left w:val="single" w:color="DDDDDD" w:sz="2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8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Q. 증명과 소명의 차이?</w:t>
            </w:r>
          </w:p>
          <w:tbl>
            <w:tblPr>
              <w:tblW w:type="dxa" w:w="50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100"/>
              <w:gridCol w:w="2070"/>
            </w:tblGrid>
            <w:tr>
              <w:tc>
                <w:tcPr>
                  <w:tcW w:type="dxa" w:w="9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1F3864" w:val="clear"/>
                  <w:tcMar>
                    <w:top w:type="dxa" w:w="36"/>
                    <w:left w:type="dxa" w:w="70"/>
                    <w:bottom w:type="dxa" w:w="3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6"/>
                      <w:szCs w:val="16"/>
                    </w:rPr>
                    <w:t xml:space="preserve">구분</w:t>
                  </w: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1F3864" w:val="clear"/>
                  <w:tcMar>
                    <w:top w:type="dxa" w:w="36"/>
                    <w:left w:type="dxa" w:w="70"/>
                    <w:bottom w:type="dxa" w:w="3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6"/>
                      <w:szCs w:val="16"/>
                    </w:rPr>
                    <w:t xml:space="preserve">증명</w:t>
                  </w:r>
                </w:p>
              </w:tc>
              <w:tc>
                <w:tcPr>
                  <w:tcW w:type="dxa" w:w="207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1F3864" w:val="clear"/>
                  <w:tcMar>
                    <w:top w:type="dxa" w:w="36"/>
                    <w:left w:type="dxa" w:w="70"/>
                    <w:bottom w:type="dxa" w:w="3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6"/>
                      <w:szCs w:val="16"/>
                    </w:rPr>
                    <w:t xml:space="preserve">소명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5F5F5" w:val="clear"/>
                  <w:tcMar>
                    <w:top w:type="dxa" w:w="36"/>
                    <w:left w:type="dxa" w:w="70"/>
                    <w:bottom w:type="dxa" w:w="36"/>
                    <w:right w:type="dxa" w:w="7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6"/>
                      <w:szCs w:val="16"/>
                    </w:rPr>
                    <w:t xml:space="preserve">정도</w:t>
                  </w: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36"/>
                    <w:left w:type="dxa" w:w="70"/>
                    <w:bottom w:type="dxa" w:w="36"/>
                    <w:right w:type="dxa" w:w="7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sz w:val="16"/>
                      <w:szCs w:val="16"/>
                    </w:rPr>
                    <w:t xml:space="preserve">고도의 개연성 (확신)</w:t>
                  </w:r>
                </w:p>
              </w:tc>
              <w:tc>
                <w:tcPr>
                  <w:tcW w:type="dxa" w:w="207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36"/>
                    <w:left w:type="dxa" w:w="70"/>
                    <w:bottom w:type="dxa" w:w="36"/>
                    <w:right w:type="dxa" w:w="7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sz w:val="16"/>
                      <w:szCs w:val="16"/>
                    </w:rPr>
                    <w:t xml:space="preserve">개연성 (그럴듯함)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5F5F5" w:val="clear"/>
                  <w:tcMar>
                    <w:top w:type="dxa" w:w="36"/>
                    <w:left w:type="dxa" w:w="70"/>
                    <w:bottom w:type="dxa" w:w="36"/>
                    <w:right w:type="dxa" w:w="7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6"/>
                      <w:szCs w:val="16"/>
                    </w:rPr>
                    <w:t xml:space="preserve">적용</w:t>
                  </w: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36"/>
                    <w:left w:type="dxa" w:w="70"/>
                    <w:bottom w:type="dxa" w:w="36"/>
                    <w:right w:type="dxa" w:w="7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sz w:val="16"/>
                      <w:szCs w:val="16"/>
                    </w:rPr>
                    <w:t xml:space="preserve">본안판결 — 요건사실</w:t>
                  </w:r>
                </w:p>
              </w:tc>
              <w:tc>
                <w:tcPr>
                  <w:tcW w:type="dxa" w:w="207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36"/>
                    <w:left w:type="dxa" w:w="70"/>
                    <w:bottom w:type="dxa" w:w="36"/>
                    <w:right w:type="dxa" w:w="7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sz w:val="16"/>
                      <w:szCs w:val="16"/>
                    </w:rPr>
                    <w:t xml:space="preserve">보전처분·임시적 판단</w:t>
                  </w:r>
                </w:p>
              </w:tc>
            </w:tr>
          </w:tbl>
          <w:p/>
        </w:tc>
      </w:tr>
    </w:tbl>
    <w:p>
      <w:pPr>
        <w:spacing w:after="0" w:before="0" w:line="50" w:lineRule="exact"/>
      </w:pPr>
      <w:r>
        <w:rPr>
          <w:sz w:val="2"/>
          <w:szCs w:val="2"/>
        </w:rPr>
        <w:t xml:space="preserve"/>
      </w:r>
    </w:p>
    <w:p>
      <w:pPr>
        <w:pBdr>
          <w:bottom w:val="single" w:color="2255AA" w:sz="6" w:space="1"/>
        </w:pBdr>
        <w:spacing w:after="16" w:before="40"/>
      </w:pPr>
      <w:r>
        <w:rPr>
          <w:rFonts w:ascii="Malgun Gothic" w:cs="Malgun Gothic" w:eastAsia="Malgun Gothic" w:hAnsi="Malgun Gothic"/>
          <w:b/>
          <w:bCs/>
          <w:color w:val="2255AA"/>
          <w:sz w:val="19"/>
          <w:szCs w:val="19"/>
        </w:rPr>
        <w:t xml:space="preserve">▶ 논점 33. 소취하·재소금지  ★</w:t>
      </w:r>
    </w:p>
    <w:p>
      <w:pPr>
        <w:spacing w:after="0" w:before="0" w:line="16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5150"/>
      </w:tblGrid>
      <w:t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2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6" w:before="24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[1] 소취하 (제266조)</w:t>
            </w:r>
          </w:p>
          <w:tbl>
            <w:tblPr>
              <w:tblW w:type="dxa" w:w="49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0"/>
            </w:tblGrid>
            <w:tr>
              <w:tc>
                <w:tcPr>
                  <w:tcW w:type="dxa" w:w="495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28"/>
                    <w:left w:type="dxa" w:w="100"/>
                    <w:bottom w:type="dxa" w:w="28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F3864"/>
                      <w:sz w:val="18"/>
                      <w:szCs w:val="18"/>
                    </w:rPr>
                    <w:t xml:space="preserve">✦ 성립요건: 당·소·시·방·동</w:t>
                  </w:r>
                </w:p>
              </w:tc>
            </w:tr>
          </w:tbl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방식: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취하서 제출 원칙 / 변론기일·준비기일 구두 가능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피고동의: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응소 후 필요 —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&lt;청구기각을 받을 이익&gt;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취소가부: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&lt;의사표시하자 불고려설&gt;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 / 제451조①⑤ 유추적용 가능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효과: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처음부터 소송 계속 X —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&lt;병존설&gt;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&lt;신병존설&gt;</w:t>
            </w:r>
          </w:p>
          <w:p>
            <w:pPr>
              <w:spacing w:after="0" w:before="0" w:line="24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6" w:before="24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[2] 재소금지 (제267②)</w:t>
            </w:r>
          </w:p>
          <w:tbl>
            <w:tblPr>
              <w:tblW w:type="dxa" w:w="49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0"/>
            </w:tblGrid>
            <w:tr>
              <w:tc>
                <w:tcPr>
                  <w:tcW w:type="dxa" w:w="495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28"/>
                    <w:left w:type="dxa" w:w="100"/>
                    <w:bottom w:type="dxa" w:w="28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F3864"/>
                      <w:sz w:val="18"/>
                      <w:szCs w:val="18"/>
                    </w:rPr>
                    <w:t xml:space="preserve">✦ 요건: 본·당·청·권  |  취지: &lt;농락방지&gt; &lt;모순저촉방지&gt;</w:t>
                  </w:r>
                </w:p>
              </w:tc>
            </w:tr>
          </w:tbl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항소심 교환적 변경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&lt;결합설&gt;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 → 재소금지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&lt;긍정설&gt;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후소 본안판결 후 취하 → 전소 부적법 각하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변론종결 후 특정승계인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&lt;새로운 권리보호이익&gt;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 → X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채권자대위소송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&lt;채무자가 알았을 때&gt;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 → O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소송물: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&lt;구이론&gt;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&lt;실체법상 권리마다 별개&gt;</w:t>
            </w:r>
          </w:p>
          <w:p>
            <w:pPr>
              <w:spacing w:after="6" w:before="6"/>
              <w:ind w:left="360" w:hanging="130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- </w:t>
            </w:r>
            <w:r>
              <w:rPr>
                <w:rFonts w:ascii="Malgun Gothic" w:cs="Malgun Gothic" w:eastAsia="Malgun Gothic" w:hAnsi="Malgun Gothic"/>
                <w:color w:val="2A2A2A"/>
                <w:sz w:val="16"/>
                <w:szCs w:val="16"/>
              </w:rPr>
              <w:t xml:space="preserve">청구기간 다르면 X  /  선결문제 O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권리보호이익: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다른 경우 → 농락 볼 수 없음 → X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효과: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소 각하 / 실체법상 권리 영향 X</w:t>
            </w:r>
          </w:p>
        </w:tc>
        <w:tc>
          <w:tcPr>
            <w:tcW w:type="dxa" w:w="5150"/>
            <w:tcBorders>
              <w:top w:val="none" w:color="FFFFFF" w:sz="0"/>
              <w:left w:val="single" w:color="DDDDDD" w:sz="2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6" w:before="36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8"/>
                <w:szCs w:val="18"/>
              </w:rPr>
              <w:t xml:space="preserve">▷ ① 항소심 교환적 변경 → 재소금지</w:t>
            </w:r>
          </w:p>
          <w:tbl>
            <w:tblPr>
              <w:tblW w:type="dxa" w:w="50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70"/>
            </w:tblGrid>
            <w:tr>
              <w:tc>
                <w:tcPr>
                  <w:tcW w:type="dxa" w:w="5070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36"/>
                    <w:left w:type="dxa" w:w="100"/>
                    <w:bottom w:type="dxa" w:w="36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판례는 교환적 변경의 법적성질을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&lt;구소취하, 신소제기&gt;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로 보는 결합설이므로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&lt;항소심에서의 교환적 변경&gt;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은 본안에 대한 종국판결 후 소취하가 되어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&lt;다시 본래의 구청구를 되살리면&gt;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&lt;재소금지&gt;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의 영향을 받아 부적법하다고 보아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&lt;재소금지 적용 긍정설&gt;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의 입장이다.</w:t>
                  </w:r>
                </w:p>
              </w:tc>
            </w:tr>
          </w:tbl>
          <w:p>
            <w:pPr>
              <w:spacing w:after="6" w:before="36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8"/>
                <w:szCs w:val="18"/>
              </w:rPr>
              <w:t xml:space="preserve">▷ ② 후소 본안판결 후 소취하</w:t>
            </w:r>
          </w:p>
          <w:tbl>
            <w:tblPr>
              <w:tblW w:type="dxa" w:w="50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70"/>
            </w:tblGrid>
            <w:tr>
              <w:tc>
                <w:tcPr>
                  <w:tcW w:type="dxa" w:w="5070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36"/>
                    <w:left w:type="dxa" w:w="100"/>
                    <w:bottom w:type="dxa" w:w="36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후소의 본안에 대한 판결이 있은 후 후소를 취하한 자는 전소를 유지할 수 없으므로 전소는 부적법 각하</w:t>
                  </w:r>
                </w:p>
              </w:tc>
            </w:tr>
          </w:tbl>
          <w:p>
            <w:pPr>
              <w:spacing w:after="6" w:before="36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8"/>
                <w:szCs w:val="18"/>
              </w:rPr>
              <w:t xml:space="preserve">▷ ③ 변론종결 후 특정승계인</w:t>
            </w:r>
          </w:p>
          <w:tbl>
            <w:tblPr>
              <w:tblW w:type="dxa" w:w="50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70"/>
            </w:tblGrid>
            <w:tr>
              <w:tc>
                <w:tcPr>
                  <w:tcW w:type="dxa" w:w="5070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36"/>
                    <w:left w:type="dxa" w:w="100"/>
                    <w:bottom w:type="dxa" w:w="36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재소금지의 효과를 받으나,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&lt;새로운 권리보호의 이익&gt;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이 있다고 보아 동일한 소 x.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&lt;당사자는 동일하나 권리보호이익이 달라&gt;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 재소금지에 해당되지 않는다</w:t>
                  </w:r>
                </w:p>
              </w:tc>
            </w:tr>
          </w:tbl>
          <w:p>
            <w:pPr>
              <w:spacing w:after="6" w:before="36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8"/>
                <w:szCs w:val="18"/>
              </w:rPr>
              <w:t xml:space="preserve">▷ ④ 채권자대위소송</w:t>
            </w:r>
          </w:p>
          <w:tbl>
            <w:tblPr>
              <w:tblW w:type="dxa" w:w="50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70"/>
            </w:tblGrid>
            <w:tr>
              <w:tc>
                <w:tcPr>
                  <w:tcW w:type="dxa" w:w="5070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36"/>
                    <w:left w:type="dxa" w:w="100"/>
                    <w:bottom w:type="dxa" w:w="36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대위소송이 제기된 사실을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&lt;채무자가 알았을 때&gt;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에 판결의 효력이 채무자에게 미치므로, 채권자 대위소송이 제기된 사실을 채무자가 알게 된 이상 재소금지 적용</w:t>
                  </w:r>
                </w:p>
              </w:tc>
            </w:tr>
          </w:tbl>
          <w:p>
            <w:pPr>
              <w:spacing w:after="6" w:before="36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8"/>
                <w:szCs w:val="18"/>
              </w:rPr>
              <w:t xml:space="preserve">▷ ⑤ 소송물 동일 — 구이론</w:t>
            </w:r>
          </w:p>
          <w:tbl>
            <w:tblPr>
              <w:tblW w:type="dxa" w:w="50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70"/>
            </w:tblGrid>
            <w:tr>
              <w:tc>
                <w:tcPr>
                  <w:tcW w:type="dxa" w:w="5070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36"/>
                    <w:left w:type="dxa" w:w="100"/>
                    <w:bottom w:type="dxa" w:w="36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판례의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&lt;구이론&gt;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에 따르면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&lt;실체법상 권리마다 별개의 소송물&gt;</w:t>
                  </w:r>
                </w:p>
              </w:tc>
            </w:tr>
          </w:tbl>
          <w:p/>
        </w:tc>
      </w:tr>
    </w:tbl>
    <w:p>
      <w:pPr>
        <w:spacing w:after="0" w:before="0" w:line="50" w:lineRule="exact"/>
      </w:pPr>
      <w:r>
        <w:rPr>
          <w:sz w:val="2"/>
          <w:szCs w:val="2"/>
        </w:rPr>
        <w:t xml:space="preserve"/>
      </w:r>
    </w:p>
    <w:p>
      <w:pPr>
        <w:pBdr>
          <w:bottom w:val="single" w:color="2255AA" w:sz="6" w:space="1"/>
        </w:pBdr>
        <w:spacing w:after="16" w:before="40"/>
      </w:pPr>
      <w:r>
        <w:rPr>
          <w:rFonts w:ascii="Malgun Gothic" w:cs="Malgun Gothic" w:eastAsia="Malgun Gothic" w:hAnsi="Malgun Gothic"/>
          <w:b/>
          <w:bCs/>
          <w:color w:val="2255AA"/>
          <w:sz w:val="19"/>
          <w:szCs w:val="19"/>
        </w:rPr>
        <w:t xml:space="preserve">▶ 논점 34. 청구포기·인낙·소송상 화해  ★ (선택형)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none" w:color="FFFFFF" w:sz="0"/>
              <w:left w:val="single" w:color="1F3864" w:sz="10"/>
              <w:bottom w:val="none" w:color="FFFFFF" w:sz="0"/>
              <w:right w:val="none" w:color="FFFFFF" w:sz="0"/>
            </w:tcBorders>
            <w:shd w:fill="FCE4D6" w:val="clear"/>
            <w:tcMar>
              <w:top w:type="dxa" w:w="28"/>
              <w:left w:type="dxa" w:w="100"/>
              <w:bottom w:type="dxa" w:w="28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✦ 검토순서: 요·법·기·다·해  |  성립요건: 당·소·시·방</w:t>
            </w:r>
          </w:p>
        </w:tc>
      </w:tr>
    </w:tbl>
    <w:p>
      <w:pPr>
        <w:spacing w:after="0" w:before="0" w:line="16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5150"/>
      </w:tblGrid>
      <w:t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2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6" w:before="24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(1) 성립요건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소송물: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변론주의에 속하는 소송물 (소송요건 흠 O / 강행규정 위반 O)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조건부화해: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O —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&lt;소송행위설, 실효조건부화해 효력 인정&gt;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시기: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항소심·상고심에서도 O</w:t>
            </w:r>
          </w:p>
          <w:p>
            <w:pPr>
              <w:spacing w:after="6" w:before="24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(2) 법적성질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포기·인낙: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&lt;소송행위설&gt;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소송상화해: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&lt;순연한 소송행위 = 소송행위설&gt;</w:t>
            </w:r>
          </w:p>
          <w:p>
            <w:pPr>
              <w:spacing w:after="6" w:before="24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(3) 효과 (제220조)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기판력: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&lt;무제한기판력설&gt;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 — 소송물에만 발생</w:t>
            </w:r>
          </w:p>
          <w:p>
            <w:pPr>
              <w:spacing w:after="6" w:before="6"/>
              <w:ind w:left="360" w:hanging="130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- </w:t>
            </w:r>
            <w:r>
              <w:rPr>
                <w:rFonts w:ascii="Malgun Gothic" w:cs="Malgun Gothic" w:eastAsia="Malgun Gothic" w:hAnsi="Malgun Gothic"/>
                <w:color w:val="2A2A2A"/>
                <w:sz w:val="16"/>
                <w:szCs w:val="16"/>
              </w:rPr>
              <w:t xml:space="preserve">제1화해↔제2화해 모순저촉 → 제2화해가 준재심사유(461조)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기타: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소송종료효 O / 집행력 O / 창설적 효력 O / 형성력 X</w:t>
            </w:r>
          </w:p>
          <w:p>
            <w:pPr>
              <w:spacing w:after="6" w:before="24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(4) 기판력 다투는 법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당연무효: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기일지정신청(민소규 제67조)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그 외 하자: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&lt;제461조 준재심&gt;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만 가능 (무권대리·사기강박 한정)</w:t>
            </w:r>
          </w:p>
          <w:p>
            <w:pPr>
              <w:spacing w:after="6" w:before="6"/>
              <w:ind w:left="360" w:hanging="130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- </w:t>
            </w:r>
            <w:r>
              <w:rPr>
                <w:rFonts w:ascii="Malgun Gothic" w:cs="Malgun Gothic" w:eastAsia="Malgun Gothic" w:hAnsi="Malgun Gothic"/>
                <w:color w:val="2A2A2A"/>
                <w:sz w:val="16"/>
                <w:szCs w:val="16"/>
              </w:rPr>
              <w:t xml:space="preserve">기일지정신청·무효확인소 불가</w:t>
            </w:r>
          </w:p>
          <w:p>
            <w:pPr>
              <w:spacing w:after="6" w:before="24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(5) 해제 가부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원칙: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소송상 화해 해제 불가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예외: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매매계약 자체의 해제 = 변론종결 후 새로 발생한 해제권 → 허용</w:t>
            </w:r>
          </w:p>
        </w:tc>
        <w:tc>
          <w:tcPr>
            <w:tcW w:type="dxa" w:w="5150"/>
            <w:tcBorders>
              <w:top w:val="none" w:color="FFFFFF" w:sz="0"/>
              <w:left w:val="single" w:color="DDDDDD" w:sz="2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6" w:before="36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8"/>
                <w:szCs w:val="18"/>
              </w:rPr>
              <w:t xml:space="preserve">▷ (4) 기판력 다투는 법</w:t>
            </w:r>
          </w:p>
          <w:tbl>
            <w:tblPr>
              <w:tblW w:type="dxa" w:w="50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70"/>
            </w:tblGrid>
            <w:tr>
              <w:tc>
                <w:tcPr>
                  <w:tcW w:type="dxa" w:w="5070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36"/>
                    <w:left w:type="dxa" w:w="100"/>
                    <w:bottom w:type="dxa" w:w="36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무제한 기판력설을 취하는 판례에 의하면 청구의 포기 인낙과 화해에 실체법상의 하자가 있는 재심사유에 해당하는 경우 무권대리, 사기강박에 한하여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&lt;제461조 준재심&gt;</w:t>
                  </w: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으로 다툴 수 있을 뿐이고, 기일지정신청이나 무효확인의 소를 제기할 수 없다</w:t>
                  </w:r>
                </w:p>
              </w:tc>
            </w:tr>
          </w:tbl>
          <w:p>
            <w:pPr>
              <w:spacing w:after="6" w:before="36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8"/>
                <w:szCs w:val="18"/>
              </w:rPr>
              <w:t xml:space="preserve">▷ (5) 해제 가부</w:t>
            </w:r>
          </w:p>
          <w:tbl>
            <w:tblPr>
              <w:tblW w:type="dxa" w:w="50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70"/>
            </w:tblGrid>
            <w:tr>
              <w:tc>
                <w:tcPr>
                  <w:tcW w:type="dxa" w:w="5070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36"/>
                    <w:left w:type="dxa" w:w="100"/>
                    <w:bottom w:type="dxa" w:w="36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555555"/>
                      <w:sz w:val="16"/>
                      <w:szCs w:val="16"/>
                    </w:rPr>
                    <w:t xml:space="preserve">소송상 화해에 따른 매매계약의 채무불이행을 이유로 매매계약 자체를 해제하는 것은 변론종결 뒤 새로 발생한 해제권을 행사하는 것으로 허용</w:t>
                  </w:r>
                </w:p>
              </w:tc>
            </w:tr>
          </w:tbl>
          <w:p/>
        </w:tc>
      </w:tr>
    </w:tbl>
    <w:p>
      <w:pPr>
        <w:spacing w:after="0" w:before="0" w:line="50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5150"/>
      </w:tblGrid>
      <w:t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2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pBdr>
                <w:bottom w:val="single" w:color="2255AA" w:sz="6" w:space="1"/>
              </w:pBdr>
              <w:spacing w:after="16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9"/>
                <w:szCs w:val="19"/>
              </w:rPr>
              <w:t xml:space="preserve">▶ 논점 35. 제소전 화해·화해권고결정</w:t>
            </w:r>
          </w:p>
          <w:tbl>
            <w:tblPr>
              <w:tblW w:type="dxa" w:w="49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0"/>
            </w:tblGrid>
            <w:tr>
              <w:tc>
                <w:tcPr>
                  <w:tcW w:type="dxa" w:w="495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28"/>
                    <w:left w:type="dxa" w:w="100"/>
                    <w:bottom w:type="dxa" w:w="28"/>
                    <w:right w:type="dxa" w:w="10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F3864"/>
                      <w:sz w:val="18"/>
                      <w:szCs w:val="18"/>
                    </w:rPr>
                    <w:t xml:space="preserve">✦ 검토: 법·기·다·해</w:t>
                  </w:r>
                </w:p>
              </w:tc>
            </w:tr>
          </w:tbl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법적성질: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소송행위설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기판력: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무제한기판력설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다투는 법: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준재심의 소 (제461조)</w:t>
            </w:r>
          </w:p>
          <w:p>
            <w:pPr>
              <w:spacing w:after="4" w:before="4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※ 판례 없음</w:t>
            </w:r>
          </w:p>
        </w:tc>
        <w:tc>
          <w:tcPr>
            <w:tcW w:type="dxa" w:w="5150"/>
            <w:tcBorders>
              <w:top w:val="none" w:color="FFFFFF" w:sz="0"/>
              <w:left w:val="single" w:color="DDDDDD" w:sz="2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2255AA" w:sz="6" w:space="1"/>
              </w:pBdr>
              <w:spacing w:after="16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2255AA"/>
                <w:sz w:val="19"/>
                <w:szCs w:val="19"/>
              </w:rPr>
              <w:t xml:space="preserve">▶ 논점 36. 판결  ★★★</w:t>
            </w:r>
          </w:p>
          <w:p>
            <w:pPr>
              <w:spacing w:after="6" w:before="24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[1] 일부판결 (제200①) — 기준: 모순저촉 우려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허용 O: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통공·단순병합·가분적청구·병합 본소반소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허용 X: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선택적·예비적 병합, 필공, 예비적·선택적 공동소송, 독당참</w:t>
            </w:r>
          </w:p>
          <w:p>
            <w:pPr>
              <w:spacing w:after="6" w:before="24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[2] 일부판결 효력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허용O, 의도적: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잔부판결로 완결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허용O, 모르고: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재판누락 → 제1심 계속, 추가판결 / 상소 불가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허용X: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&lt;판단누락에 준하는 위법한 판결&gt;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 → 상소·재심 구제</w:t>
            </w:r>
          </w:p>
          <w:p>
            <w:pPr>
              <w:spacing w:after="6" w:before="24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[3] 재판누락·추가판결 (제212조)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기준: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판결 주문의 기재 / 허용 → 추가판결, 상소 불가</w:t>
            </w:r>
          </w:p>
          <w:p>
            <w:pPr>
              <w:spacing w:after="6" w:before="24"/>
              <w:ind w:left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[4] 판결의 경정 (제211조)</w:t>
            </w:r>
          </w:p>
          <w:p>
            <w:pPr>
              <w:spacing w:after="10" w:before="10"/>
              <w:ind w:left="160" w:hanging="140"/>
            </w:pPr>
            <w:r>
              <w:rPr>
                <w:rFonts w:ascii="Malgun Gothic" w:cs="Malgun Gothic" w:eastAsia="Malgun Gothic" w:hAnsi="Malgun Gothic"/>
                <w:color w:val="2255AA"/>
                <w:sz w:val="18"/>
                <w:szCs w:val="18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(차회 보완 예정)</w:t>
            </w:r>
          </w:p>
          <w:p>
            <w:pPr>
              <w:spacing w:after="4" w:before="4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※ 판례 없음</w:t>
            </w:r>
          </w:p>
        </w:tc>
      </w:tr>
    </w:tbl>
    <w:p>
      <w:pPr>
        <w:spacing w:after="0" w:before="0" w:line="70" w:lineRule="exact"/>
      </w:pPr>
      <w:r>
        <w:rPr>
          <w:sz w:val="2"/>
          <w:szCs w:val="2"/>
        </w:rPr>
        <w:t xml:space="preserve"/>
      </w:r>
    </w:p>
    <w:p>
      <w:pPr>
        <w:pBdr>
          <w:bottom w:val="single" w:color="1F3864" w:sz="4" w:space="1"/>
        </w:pBdr>
        <w:spacing w:after="24" w:before="24"/>
      </w:pPr>
    </w:p>
    <w:p>
      <w:pPr>
        <w:spacing w:after="0" w:before="0" w:line="30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【오늘의 공부 레포트】</w:t>
            </w:r>
          </w:p>
        </w:tc>
      </w:tr>
    </w:tbl>
    <w:p>
      <w:pPr>
        <w:spacing w:after="0" w:before="0" w:line="16" w:lineRule="exact"/>
      </w:pPr>
      <w:r>
        <w:rPr>
          <w:sz w:val="2"/>
          <w:szCs w:val="2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600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DCF0" w:val="clear"/>
            <w:tcMar>
              <w:top w:type="dxa" w:w="46"/>
              <w:left w:type="dxa" w:w="80"/>
              <w:bottom w:type="dxa" w:w="46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공부 범위</w:t>
            </w:r>
          </w:p>
        </w:tc>
        <w:tc>
          <w:tcPr>
            <w:tcW w:type="dxa" w:w="8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6" w:before="6"/>
            </w:pP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논점 32 소송종료선언 / 논점 33 소취하·재소금지 / 논점 34 청구포기·인낙·소송상화해</w:t>
            </w:r>
          </w:p>
          <w:p>
            <w:pPr>
              <w:spacing w:after="6" w:before="6"/>
            </w:pP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논점 35 제소전화해·화해권고결정 / 논점 36 판결(일부판결·추가판결·경정) / 유일한 증거(선택형)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DCF0" w:val="clear"/>
            <w:tcMar>
              <w:top w:type="dxa" w:w="46"/>
              <w:left w:type="dxa" w:w="80"/>
              <w:bottom w:type="dxa" w:w="46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오늘의 깨달음</w:t>
            </w:r>
          </w:p>
        </w:tc>
        <w:tc>
          <w:tcPr>
            <w:tcW w:type="dxa" w:w="8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6" w:before="6"/>
            </w:pP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화해·포기·인낙 검토 틀(요법기다해)과 소취하(당소시방동)의 구조적 유사성 → 병렬 암기</w:t>
            </w:r>
          </w:p>
          <w:p>
            <w:pPr>
              <w:spacing w:after="6" w:before="6"/>
            </w:pP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일부판결 허부는 '모순저촉 우려' 기준으로 절단 판단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DCF0" w:val="clear"/>
            <w:tcMar>
              <w:top w:type="dxa" w:w="46"/>
              <w:left w:type="dxa" w:w="80"/>
              <w:bottom w:type="dxa" w:w="46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복습 필요</w:t>
            </w:r>
          </w:p>
        </w:tc>
        <w:tc>
          <w:tcPr>
            <w:tcW w:type="dxa" w:w="8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6" w:before="6"/>
            </w:pP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① 논점 36 판결의 경정(제211조) — 차회 보완</w:t>
            </w:r>
          </w:p>
          <w:p>
            <w:pPr>
              <w:spacing w:after="6" w:before="6"/>
            </w:pP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② 재소금지 선결문제 판례 원문 확인</w:t>
            </w:r>
          </w:p>
          <w:p>
            <w:pPr>
              <w:spacing w:after="6" w:before="6"/>
            </w:pP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③ 소송상 화해 조건부 허용 근거 재확인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DCF0" w:val="clear"/>
            <w:tcMar>
              <w:top w:type="dxa" w:w="46"/>
              <w:left w:type="dxa" w:w="80"/>
              <w:bottom w:type="dxa" w:w="46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총평</w:t>
            </w:r>
          </w:p>
        </w:tc>
        <w:tc>
          <w:tcPr>
            <w:tcW w:type="dxa" w:w="8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6" w:before="6"/>
            </w:pP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논점 32~36 구조 전반 입력 완료. 별점 논점(32★, 34★, 36★★★) 정리됨.</w:t>
            </w:r>
          </w:p>
          <w:p>
            <w:pPr>
              <w:spacing w:after="6" w:before="6"/>
            </w:pPr>
            <w:r>
              <w:rPr>
                <w:rFonts w:ascii="Malgun Gothic" w:cs="Malgun Gothic" w:eastAsia="Malgun Gothic" w:hAnsi="Malgun Gothic"/>
                <w:color w:val="2A2A2A"/>
                <w:sz w:val="18"/>
                <w:szCs w:val="18"/>
              </w:rPr>
              <w:t xml:space="preserve">좌(구조)·우(판례) 2컬럼 레이아웃 도입 → 해당 판례 즉시 확인 가능.</w:t>
            </w:r>
          </w:p>
        </w:tc>
      </w:tr>
    </w:tbl>
    <w:p>
      <w:pPr>
        <w:spacing w:after="0" w:before="0" w:line="40" w:lineRule="exact"/>
      </w:pPr>
      <w:r>
        <w:rPr>
          <w:sz w:val="2"/>
          <w:szCs w:val="2"/>
        </w:rP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color w:val="1F3864"/>
          <w:sz w:val="16"/>
          <w:szCs w:val="16"/>
        </w:rPr>
        <w:t xml:space="preserve">━━━━━━━━━━━  복습용 · 프로젝트1 첨삭용 · 프로젝트3 퀴즈용 겸용  ━━━━━━━━━━━</w:t>
      </w:r>
    </w:p>
    <w:sectPr>
      <w:headerReference w:type="default" r:id="rId7"/>
      <w:footerReference w:type="default" r:id="rId8"/>
      <w:pgSz w:w="11906" w:h="16838" w:orient="portrait"/>
      <w:pgMar w:top="60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Malgun Gothic" w:cs="Malgun Gothic" w:eastAsia="Malgun Gothic" w:hAnsi="Malgun Gothic"/>
        <w:color w:val="999999"/>
        <w:sz w:val="15"/>
        <w:szCs w:val="15"/>
      </w:rPr>
      <w:t xml:space="preserve">복습용 · 첨삭용 · 퀴즈용 겸용  |  p.</w:t>
    </w:r>
    <w:r>
      <w:rPr>
        <w:rFonts w:ascii="Malgun Gothic" w:cs="Malgun Gothic" w:eastAsia="Malgun Gothic" w:hAnsi="Malgun Gothic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jc w:val="right"/>
    </w:pPr>
    <w:r>
      <w:rPr>
        <w:rFonts w:ascii="Malgun Gothic" w:cs="Malgun Gothic" w:eastAsia="Malgun Gothic" w:hAnsi="Malgun Gothic"/>
        <w:color w:val="999999"/>
        <w:sz w:val="15"/>
        <w:szCs w:val="15"/>
      </w:rPr>
      <w:t xml:space="preserve">민사소송법  |  2026-05-12  |  논점 32~36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2026-05-12T07:14:05.736Z</dcterms:created>
  <dcterms:modified xsi:type="dcterms:W3CDTF">2026-05-12T07:14:05.736Z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