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민사법 사례형 답안 첨삭 리포트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2025년도 제2차 변호사시험 모의시험 (25년 8모) · 1·2·3문 전문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작성일 2026. 5. 31. · 채점기준표 기준 첨삭</w:t>
      </w:r>
    </w:p>
    <w:p>
      <w:pPr>
        <w:pStyle w:val="Heading1"/>
        <w:pBdr>
          <w:bottom w:val="single" w:color="2E75B6" w:sz="10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총평 및 예상 총점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예상 총점 </w:t>
      </w:r>
      <w:r>
        <w:rPr>
          <w:rFonts w:ascii="맑은 고딕" w:cs="맑은 고딕" w:eastAsia="맑은 고딕" w:hAnsi="맑은 고딕"/>
          <w:b/>
          <w:bCs/>
          <w:color w:val="C00000"/>
          <w:sz w:val="26"/>
          <w:szCs w:val="26"/>
        </w:rPr>
        <w:t xml:space="preserve">155~207점 / 350점 (약 44~59%)</w:t>
      </w:r>
      <w:r>
        <w:rPr>
          <w:rFonts w:ascii="맑은 고딕" w:cs="맑은 고딕" w:eastAsia="맑은 고딕" w:hAnsi="맑은 고딕"/>
        </w:rPr>
        <w:t xml:space="preserve">  ·  중간값 약 181점(51.7%)으로 합격권(약 50%)에 진입합니다.</w:t>
      </w:r>
    </w:p>
    <w:p>
      <w:pPr>
        <w:pBdr>
          <w:top w:val="single" w:color="BFBFBF" w:sz="4" w:space="3"/>
          <w:bottom w:val="single" w:color="BFBFBF" w:sz="4" w:space="3"/>
        </w:pBdr>
        <w:spacing w:after="12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[정정] </w:t>
      </w:r>
      <w:r>
        <w:rPr>
          <w:rFonts w:ascii="맑은 고딕" w:cs="맑은 고딕" w:eastAsia="맑은 고딕" w:hAnsi="맑은 고딕"/>
        </w:rPr>
        <w:t xml:space="preserve">1문의2는 출제 후 선고된 </w:t>
      </w:r>
      <w:r>
        <w:rPr>
          <w:rFonts w:ascii="맑은 고딕" w:cs="맑은 고딕" w:eastAsia="맑은 고딕" w:hAnsi="맑은 고딕"/>
          <w:b/>
          <w:bCs/>
        </w:rPr>
        <w:t xml:space="preserve">대법원 2025.10.23. 2021다252977 전합</w:t>
      </w:r>
      <w:r>
        <w:rPr>
          <w:rFonts w:ascii="맑은 고딕" w:cs="맑은 고딕" w:eastAsia="맑은 고딕" w:hAnsi="맑은 고딕"/>
        </w:rPr>
        <w:t xml:space="preserve">으로 판례가 변경되어, 현행 판례 기준으로는 답안의 결론(후소 중복·각하)이 옳습니다. 초판 첨삭의 지적은 철회하고 점수를 3~6점 → 16~20점으로 상향했습니다.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2E7D32"/>
        </w:rPr>
        <w:t xml:space="preserve">강세 영역: </w:t>
      </w:r>
      <w:r>
        <w:rPr>
          <w:rFonts w:ascii="맑은 고딕" w:cs="맑은 고딕" w:eastAsia="맑은 고딕" w:hAnsi="맑은 고딕"/>
        </w:rPr>
        <w:t xml:space="preserve">1문의2(현행 판례 적용), 1문의5(불이익변경), 1문의6-(2)(제496조 상계금지), 2문의1-(1)(가압류 시효중단), 3문-3(신주발행무효의 소) — 결론·판례 모두 적중.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취약 영역: </w:t>
      </w:r>
      <w:r>
        <w:rPr>
          <w:rFonts w:ascii="맑은 고딕" w:cs="맑은 고딕" w:eastAsia="맑은 고딕" w:hAnsi="맑은 고딕"/>
        </w:rPr>
        <w:t xml:space="preserve">2문(35~49%)이 가장 취약. 결론 오류 또는 핵심법리 누락이 9개 소문항에 달해 이번 회차는 보완 비중이 큽니다.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예상점수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1문의1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5~7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조합론 오류·당사자적격 누락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1문의2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16~20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현행 판례(2021다252977 전합) 기준 결론 정확 · 논거 보강 권장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1문의3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5~8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사본 형식적증거력 법리 누락·결론 정반대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1문의4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12~15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법리 양호, 결론(취소·기각)·사안적용 감점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1문의5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15~18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불이익변경·제216조2항 기판력 적중 (강세)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1문의6-(1)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0~2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점유자 지위 상실 법리 누락·결론 정반대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1문의6-(2)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18~22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제496조 부당이득 상계금지 적중 (강세)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1문의6-(3)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6~8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상법57조 오용(→위임 688조2항), 결론은 적중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1문 소계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77~100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2문의1-(1)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12~14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가압류 시효중단·부대채권 적중 (강세)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2문의1-(2)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3~5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한정승인 상계 소급소멸 누락·결론 정반대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2문의1-(3)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2~4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고유채권자 저당권 우선 누락·거의 미작성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2문의2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10~13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화해733조 오용(→소취하합의·109조), 결론 적중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2문의3-(1)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5~7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법리 방향 OK, 각하/기각 구분 오류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2문의3-(2)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3~6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동순위 가압류 경매대가 산정 누락·결론 오류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2문 소계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35~49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3문-1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8~13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대표권 남용 16점 통째 누락·결론 정반대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3문-2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2~5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대표이사 개인≠상인 오해·결론 정반대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3문-3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24~28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신주발행무효의 소 적중 (강세)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3문-4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9~12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제720조 오용(→제680조), 결론 적중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3문 소계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43~58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총계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350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155~207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★ = 결론 오류 또는 핵심법리 누락 문항 (총 10개)</w:t>
      </w:r>
    </w:p>
    <w:p>
      <w:pPr>
        <w:pStyle w:val="Heading1"/>
        <w:pBdr>
          <w:bottom w:val="single" w:color="2E75B6" w:sz="10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제1문 (150점)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1문의1 — 임의적 소송신탁(아파트 관리단) [15점]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결론(乙 주장 부당)은 정확하나, 핵심인 '위탁관리업자의 자기명의 추심소송이 임의적 소송신탁이지만 허용되는지'를 비껴감.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병은 관리단으로서 조합에 해당 → 조합 명의 소송 불가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채점기준표에 '관리단=조합' 법리 없음. 관리단은 비법인사단이며 본 쟁점과 무관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입주자대표행위에 위임…합리적 필요성·공통의 권리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관리비 부과·징수 포함 포괄적 관리업무를 위탁관리업자에 위탁한 것이 통상적이므로 재판상 청구 권한 수여도 포함…직접 자기 이름의 재판상 청구는 임의적 소송신탁이나 집합건물 관리업무 성격·거래현실상 허용되고 당사자적격 있음 (대법원 2022.5.13. 2019다229516)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잘못된 전제(조합론) 위에 규범→포섭이 세워져 결론만 일치. '당사자적격' 키워드 누락.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15점에 약 8줄로 과소(적정 18~25줄).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5~7점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1문의2 — 추심의 소 중복소제기 [25점]  (현행 판례 기준 재평가)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출제(2025.8) 이후 선고된 대법원 2025.10.23. 2021다252977 전합으로 판례가 변경됨. 현행 판례 기준으로는 답안의 결론이 옳음. 채무자(甲)는 추심명령이 있어도 당사자적격을 상실하지 않으므로(병행형), 추심채권자(丙)의 후소(추심의 소)는 중복소제기로 각하 → 답안의 '후소 중복·각하(乙 주장 타당)' 결론 정확.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(정확) 판례 변경 포착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채무자가 당사자적격을 상실하지 않는다(병행형)고 보아 후소를 중복소제기로 본 결론은 2021다252977 전합 다수의견에 부합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종래 판례 추심권능이 '채무자→제3채무자'로 이전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'채무자→추심채권자(丙)'에게 추심 권능 부여(채권 자체가 이전되는 것은 아님). 방향 표기 정정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乙 논거로 든 3가지(참가 항상 가능X·제3채무자 불이익 단정X·추심채권자 승소시 채무자 이익)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이 논거들은 오히려 종래 2013다202120 다수의견이 '후소는 중복 아님'을 정당화한 근거라 현행 결론(후소 중복)과 부정합. 신 전합 핵심논거(채무자의 권리행사·시효중단 이익, 추심채권자는 참가로 충분, 제3채무자 응소부담 경감, 소송경제·일회적 해결)로 교체 권장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병(종래 갈음형=후소 적법)·을(신 전합=후소 중복)의 대립을 정확히 배치하고 을의 입장을 택해 일관되게 결론. ※ 초판 첨삭의 '자기모순·당사자 배치 오류' 지적은 첨삭자(Claude)의 오독으로 철회함.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 신 전합 논거 보강 시 완성도 상승.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16~20점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1문의3 — 위임장 사본의 형식적 증거력 [20점]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본 문제의 핵심인 '사본 법리'를 백지보충 항변으로 대체해 결론이 정반대.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백지보충 항변 본증 미증명 → 형식적 증거력 인정(증거력 O)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원본의 존재·진정성립에 다툼이 있으면, 사본과 동일한 원본이 존재하고 그 원본이 진정성립되었음이 증명되어야 사본의 형식적 증거력이 인정되고, 아니면 그러한 사본이 존재한다는 증거가 될 뿐 (대법원 2002.8.23. 2000다66133) → 형식적 증거력 인정 X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제358조 2단 추정(인영 진정→날인 진정→문서 진정성립)은 정확하나, 배점 중심인 '사본 제출(5점)' 논점을 채점기준에 없는 백지보충 법리로 대체.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분량 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5~8점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1문의4 — 독립당사자참가·항소심 [20점]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독참 적법성·합일확정·불이익변경금지 배제 등 법리는 대부분 정확.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갑·병의 항소를 기각(항소기각)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매매계약이 유효라면 甲·丙의 부당이득반환청구는 이유 없어 기각, 乙에게 지급 명한 제1심판결은 취소. 합일확정 요청상 乙에게 유리한 변경도 불이익변경금지에 반하지 않음 → '제1심판결 취소, 甲·丙 청구 모두 기각' (2006다86573)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규범 양호, 사안적용에서 합일확정으로 인한 변경 가능 논점 누락 + 결론 오류.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12~15점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1문의5 — 상계항변·원고만 항소·불이익변경 [20점] (강세)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결론(항소심판결 부당) 정확. 상소불가분 이심, 제415조 불이익변경금지, 제216조2항 상계 기판력 → 항소기각 논리 모두 적중.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(보강) 판례 문구 약함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원고 청구채권 발생을 인정한 후 상계항변을 받아들여 일부기각하고 원고만 항소한 경우, 항소심이 채권 발생 부정을 이유로 청구를 기각함은 심판범위 일탈·항소인 불이익으로 불허 (대법원 2011다51205, 86다카829)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쟁점→규범→포섭→결론 흐름 우수.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15~18점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1문의6-(1) — 유익비상환청구(점유자 지위 상실) [10점]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핵심 판례를 전혀 인식하지 못해 결론이 정반대.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유익비 지출·가액증가 현존 → 청구 가능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점유자가 점유물 반환 이외의 원인으로 점유자 지위를 잃어 소유자가 물권적 청구권을 행사할 수 없게 되면, 더 이상 제203조가 규율하는 점유자·회복자 관계가 아니므로 비용상환청구권 행사 불가 (대법원 2022.6.30. 2020다209815). 甲은 戊의 Y건물 취득으로 X토지 점유자 지위 상실 → 청구 불가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논점 자체 미인식.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과소.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0~2점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1문의6-(2) — 사기취소·고의 불법행위 부당이득 수동채권 상계금지 [25점] (강세)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사기취소 요건·법인 기망·부당이득·제496조 부당이득 상계금지(2001다52506) 핵심 적중. 전부인용 결론 정확.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(보강) 법인 불법행위 근거 약함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제35조(외형이론·직무관련성) 명시 권장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(보강) 상계적상 일부 누락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부당이득반환채권은 이행기 정함이 없어 성립과 동시에 변제기 도래 → 상계적상 충족 논점 추가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우수.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18~22점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1문의6-(3) — 대변제청구권·채권자대위 무자력 요건 [15점]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결론(갑·을 주장 모두 부당)은 정확하나 근거 법리가 어긋남.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B는 상법 제57조 연대채무, 부담부분 0 → 갑 전액 변제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甲법인과 전무이사 B는 위임관계이며, 수임인 B는 위임인 甲에게 대변제청구권(제688조 제2항)을 행사 (2007다6307). 상법57조 연대채무 구성은 채점기준에 없음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밀접관련성으로 무자력 불요(일반론)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수임인의 제688조2항 대변제청구권은 통상의 금전채권과 다른 목적이므로 이를 보전하기 위한 대위행사에는 채무자의 무자력을 요건으로 하지 않음 (2001다52506)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결론 일치, 규범의 근거조문 오류.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6~8점 </w:t>
      </w:r>
    </w:p>
    <w:p>
      <w:pPr>
        <w:pStyle w:val="Heading1"/>
        <w:pBdr>
          <w:bottom w:val="single" w:color="2E75B6" w:sz="10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제2문 (100점)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2문의1-(1) — 가압류 시효중단·지연손해금 [15점] (강세)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결론(6억 + 2012.12.1.이후 지연손해금 일부인용)이 채점기준과 정확히 일치.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(적중) 핵심 판례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가압류 청구금액에 원금만 기재 시 부대채권 시효중단 효력 없음(2024다233212), 제소기간 도과로 인한 가압류 취소는 제175조 시효중단 무효 사유가 아니고 계속설상 취소시점까지 중단(2010다88019) — 모두 정확히 서술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우수.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12~14점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2문의1-(2) — 한정승인·상계의 소급 소멸 [15점]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핵심 판례를 놓쳐 결론이 정반대.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을은 정에게 상계 주장 가능 → 정의 청구 기각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상속채권자가 상속개시 후 한정승인 이전에 피상속인에 대한 채권을 자동채권으로 상속인에 대한 채무와 상계하였더라도, 그 후 상속인이 한정승인을 하면 제1031조 취지상 상계가 소급하여 효력을 상실하고 자동·수동채권이 모두 부활 (대법원 2022.10.27. 2022다254154) → 丁의 대여금채권 부활 → 인용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상계적상·기한이익 포기 서술 일부 인정되나 결론 오류.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3~5점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2문의1-(3) — 한정승인 상속재산 배당 [20점]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결론 한 줄만 기재(논거 부재). 거의 미작성.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무가 7억, B가 3억 (논거 없음)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한정승인이 이루어진 상속재산에 한정승인자의 고유채권자가 저당권을 취득한 경우 그 담보권자가 상속채권자에 우선 (대법원 2010.3.18. 2007다77781 전합) → 戊(저당권자) 7억, A(상속채권자) 3억, B 0원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논점 미전개.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극히 과소.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2~4점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2문의2 — 변제충당·소취하합의 착오취소 [20점]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변제충당·결론(인용)은 정확하나 소취하합의의 성질결정이 오류.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화해계약(제731조)·창설적효력(제732조)·제733조 화해 착오취소 특칙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소취하합의는 사법(私法)계약이며(2020다227523), 민법 제109조 일반 착오취소 법리로 검토. 화해 제733조 적용 아님 — 동기의 착오이나 乙이 동기 표시, 충당대상 착오는 중요부분, 중과실 없음 → 제109조 취소 가능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(적중) 변제충당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제477·479조로 제1채권 이자·지연손해금 우선충당 → 제2채권 원본 1억 존속 — 정확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규범 도구(화해) 오선택.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10~13점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2문의3-(1) — 공유물 보존행위·타 공유자 지분 [10점]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법리 방향은 맞으나 각하/기각 구분 오류.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각하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공유자가 다른 공유자의 지분권을 대외적으로 주장함은 보존행위가 아니므로 자신의 지분 범위 초과 부분의 회복을 구할 수 없음 (2009다67429, 2023다273206) → 본안에서 이유 없어 기각(소송요건 흠결의 각하 아님)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법리 OK, 처리(각하/기각) 오류.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5~7점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2문의3-(2) — 공동저당 배당·동순위 가압류 [20점]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동순위 가압류 있는 공동저당 경매대가 산정법을 놓쳐 결론 오류.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가압류 처분금지효 적용·Y토지서 B 3억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공동저당권과 동순위로 배당받는 채권(선행 가압류)이 있으면 제368조1항 '경매대가'는 매각대금에서 경매비용·선순위채권뿐 아니라 동순위채권 안분액까지 공제한 잔액 (대법원 2024.6.13. 2020다258893) → X 5억−A 2억=3억을 B:丁=2:1 안분, B 몫 2억이 X 경매대가, Y 3억과 2:3 안분 → B은행 X 1억6천, Y 2억4천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규범 미인식.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과소.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3~6점 </w:t>
      </w:r>
    </w:p>
    <w:p>
      <w:pPr>
        <w:pStyle w:val="Heading1"/>
        <w:pBdr>
          <w:bottom w:val="single" w:color="2E75B6" w:sz="10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제3문 (100점)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3문-1 — 증여계약 효력(전단적 대표행위+대표권 남용) [35점]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배점의 절반인 '대표권 남용'(16점)을 통째로 누락, 결론 정반대.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선의면 무효 대항 못함 → 증여 유효(에서 종결)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이사회회의록 소급작성 사정상 乙이 선의·무중과실이라 보기 어려워 제393조 위반 무효라 보긴 어렵지만(2017다253829), A의 대표권 남용으로 乙이 진의를 알았거나 알 수 있었으므로 최종적으로 증여계약 무효 (2016다222453 등)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대표권 남용 논점 부재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개념·요건·학설(권리남용설/심리유보설)·판례 전체 미전개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전단적 대표행위에서 멈춰 후속 핵심논점 미인식.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35점 대비 과소.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8~13점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3문-2 — 대여금 상사시효 [15점]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판례를 반대로 이해해 결론 정반대.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영업준비행위 → 상행위 → 5년 상사시효 완성 → 기각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회사가 상인으로 의제되어도 대표이사 개인이 상인이 되는 것은 아니고, 개인 자격으로 회사 운영자금을 빌려도 상행위가 아님 → 민사채권 10년 (대법원 2018.4.24. 2017다205127). A는 개인 자격 차용이므로 시효 미완성 → 청구 인용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판례 오해.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2~5점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3문-3 — 신주인수권부사채/신주발행 무효의 소 [35점] (강세)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핵심(신주발행무효의 소로 다툼)을 정확히 포착. 형식설·경영권 방어목적 무효사유·원고적격·제소기간·제431조 장래효 모두 적중.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(보강) 제소기간 정리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신주인수권부사채발행무효의 소는 사채발행일로부터 6월 도과로 불가, 신주발행무효의 소 제소기간은 신주발행일 기산(사채발행일 아님), 근거 2021다201054 명시 권장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우수.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24~28점 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75B6"/>
          <w:sz w:val="25"/>
          <w:szCs w:val="25"/>
        </w:rPr>
        <w:t xml:space="preserve">3문-4 — 손해방지비용 [15점]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① 논점: </w:t>
      </w:r>
      <w:r>
        <w:rPr>
          <w:rFonts w:ascii="맑은 고딕" w:cs="맑은 고딕" w:eastAsia="맑은 고딕" w:hAnsi="맑은 고딕"/>
        </w:rPr>
        <w:t xml:space="preserve">결론(甲 보험회사 3,000만원 지급) 정확. 조문 구성만 보강 필요.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② 법조문·판례 정확성</w:t>
      </w:r>
    </w:p>
    <w:p>
      <w:pPr>
        <w:spacing w:after="70"/>
        <w:ind w:left="360"/>
      </w:pPr>
      <w:r>
        <w:rPr>
          <w:rFonts w:ascii="맑은 고딕" w:cs="맑은 고딕" w:eastAsia="맑은 고딕" w:hAnsi="맑은 고딕"/>
          <w:b/>
          <w:bCs/>
          <w:color w:val="C00000"/>
        </w:rPr>
        <w:t xml:space="preserve">✗ </w:t>
      </w:r>
      <w:r>
        <w:rPr>
          <w:rFonts w:ascii="맑은 고딕" w:cs="맑은 고딕" w:eastAsia="맑은 고딕" w:hAnsi="맑은 고딕"/>
          <w:color w:val="595959"/>
        </w:rPr>
        <w:t xml:space="preserve">제720조 방어비용으로 구성</w:t>
      </w:r>
      <w:r>
        <w:rPr>
          <w:rFonts w:ascii="맑은 고딕" w:cs="맑은 고딕" w:eastAsia="맑은 고딕" w:hAnsi="맑은 고딕"/>
          <w:b/>
          <w:bCs/>
        </w:rPr>
        <w:t xml:space="preserve">  →  </w:t>
      </w:r>
      <w:r>
        <w:rPr>
          <w:rFonts w:ascii="맑은 고딕" w:cs="맑은 고딕" w:eastAsia="맑은 고딕" w:hAnsi="맑은 고딕"/>
          <w:b/>
          <w:bCs/>
          <w:color w:val="2E7D32"/>
        </w:rPr>
        <w:t xml:space="preserve">✓ </w:t>
      </w:r>
      <w:r>
        <w:rPr>
          <w:rFonts w:ascii="맑은 고딕" w:cs="맑은 고딕" w:eastAsia="맑은 고딕" w:hAnsi="맑은 고딕"/>
        </w:rPr>
        <w:t xml:space="preserve">본 쟁점은 상법 제680조 손해방지·경감비용(방어비용은 별개). 손해 발생 당시 책임 여부가 불확실해도 그 판단이 잘못되어 긴급조치를 취했더라도 중대한 과실이 없는 한 그 비용은 보험자가 부담 (대법원 1994.9.9. 94다16663)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③ 논리 구조: </w:t>
      </w:r>
      <w:r>
        <w:rPr>
          <w:rFonts w:ascii="맑은 고딕" w:cs="맑은 고딕" w:eastAsia="맑은 고딕" w:hAnsi="맑은 고딕"/>
        </w:rPr>
        <w:t xml:space="preserve">결론 일치, 조문·판례 정밀도 부족.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④ 분량: </w:t>
      </w:r>
      <w:r>
        <w:rPr>
          <w:rFonts w:ascii="맑은 고딕" w:cs="맑은 고딕" w:eastAsia="맑은 고딕" w:hAnsi="맑은 고딕"/>
        </w:rPr>
        <w:t xml:space="preserve">적정.</w:t>
      </w:r>
    </w:p>
    <w:p>
      <w:pPr>
        <w:shd w:fill="1F3864" w:val="clear"/>
        <w:spacing w:after="120" w:before="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예상점수: 9~12점 </w:t>
      </w:r>
    </w:p>
    <w:p>
      <w:pPr>
        <w:pStyle w:val="Heading1"/>
        <w:pBdr>
          <w:bottom w:val="single" w:color="2E75B6" w:sz="10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단권화 대상 TOP 3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대표권 남용 (3문-1)</w:t>
      </w:r>
    </w:p>
    <w:p>
      <w:pPr>
        <w:spacing w:after="80"/>
        <w:ind w:left="300"/>
      </w:pPr>
      <w:r>
        <w:rPr>
          <w:rFonts w:ascii="맑은 고딕" w:cs="맑은 고딕" w:eastAsia="맑은 고딕" w:hAnsi="맑은 고딕"/>
        </w:rPr>
        <w:t xml:space="preserve">전단적 대표행위로 일응 유효라도 한 단계 더 — 대표권 남용(개념·요건·심리유보설/권리남용설·판례)을 반드시 검토. 상대방이 진의를 알았거나 알 수 있었으면 회사에 대해 무효(2016다222453). 배점 35점 중 16점이 걸린 핵심.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한정승인 2쟁점 (2문의1-(2),(3))</w:t>
      </w:r>
    </w:p>
    <w:p>
      <w:pPr>
        <w:spacing w:after="80"/>
        <w:ind w:left="300"/>
      </w:pPr>
      <w:r>
        <w:rPr>
          <w:rFonts w:ascii="맑은 고딕" w:cs="맑은 고딕" w:eastAsia="맑은 고딕" w:hAnsi="맑은 고딕"/>
        </w:rPr>
        <w:t xml:space="preserve">① 한정승인 시 기존 상계 소급 소멸·부활(2022다254154), ② 한정승인 상속재산에 대해 고유채권자 저당권자가 상속채권자에 우선(2007다77781 전합). 빈출 — 결론까지 고정.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사본의 형식적 증거력 (1문의3)</w:t>
      </w:r>
    </w:p>
    <w:p>
      <w:pPr>
        <w:spacing w:after="80"/>
        <w:ind w:left="300"/>
      </w:pPr>
      <w:r>
        <w:rPr>
          <w:rFonts w:ascii="맑은 고딕" w:cs="맑은 고딕" w:eastAsia="맑은 고딕" w:hAnsi="맑은 고딕"/>
        </w:rPr>
        <w:t xml:space="preserve">원본의 존재+진정성립이 증명되어야 사본의 형식적 증거력 인정, 아니면 사본 존재 증거에 불과 (2000다66133). 백지보충 항변과 혼동 금지.</w:t>
      </w:r>
    </w:p>
    <w:p>
      <w:pPr>
        <w:pStyle w:val="Heading1"/>
        <w:pBdr>
          <w:bottom w:val="single" w:color="2E75B6" w:sz="10" w:space="4"/>
        </w:pBdr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오류 원인 진단 및 개선 방향</w:t>
      </w:r>
    </w:p>
    <w:p>
      <w:pPr>
        <w:spacing w:after="30" w:before="70"/>
      </w:pPr>
      <w:r>
        <w:rPr>
          <w:rFonts w:ascii="맑은 고딕" w:cs="맑은 고딕" w:eastAsia="맑은 고딕" w:hAnsi="맑은 고딕"/>
          <w:b/>
          <w:bCs/>
          <w:color w:val="C00000"/>
          <w:sz w:val="23"/>
          <w:szCs w:val="23"/>
        </w:rPr>
        <w:t xml:space="preserve">· 논점 누락형</w:t>
      </w:r>
    </w:p>
    <w:p>
      <w:pPr>
        <w:spacing w:after="20"/>
        <w:ind w:left="300"/>
      </w:pPr>
      <w:r>
        <w:rPr>
          <w:rFonts w:ascii="맑은 고딕" w:cs="맑은 고딕" w:eastAsia="맑은 고딕" w:hAnsi="맑은 고딕"/>
          <w:b/>
          <w:bCs/>
        </w:rPr>
        <w:t xml:space="preserve">진단: </w:t>
      </w:r>
      <w:r>
        <w:rPr>
          <w:rFonts w:ascii="맑은 고딕" w:cs="맑은 고딕" w:eastAsia="맑은 고딕" w:hAnsi="맑은 고딕"/>
        </w:rPr>
        <w:t xml:space="preserve">3문-1에서 배점의 절반인 대표권 남용을 인식조차 못함.</w:t>
      </w:r>
    </w:p>
    <w:p>
      <w:pPr>
        <w:spacing w:after="60"/>
        <w:ind w:left="300"/>
      </w:pPr>
      <w:r>
        <w:rPr>
          <w:rFonts w:ascii="맑은 고딕" w:cs="맑은 고딕" w:eastAsia="맑은 고딕" w:hAnsi="맑은 고딕"/>
          <w:b/>
          <w:bCs/>
          <w:color w:val="2E7D32"/>
        </w:rPr>
        <w:t xml:space="preserve">개선 방향: </w:t>
      </w:r>
      <w:r>
        <w:rPr>
          <w:rFonts w:ascii="맑은 고딕" w:cs="맑은 고딕" w:eastAsia="맑은 고딕" w:hAnsi="맑은 고딕"/>
        </w:rPr>
        <w:t xml:space="preserve">"전단적 대표행위로 유효처럼 보여도 한 단계 더 — 대표권 남용 검토"를 세트로 암기.</w:t>
      </w:r>
    </w:p>
    <w:p>
      <w:pPr>
        <w:spacing w:after="30" w:before="70"/>
      </w:pPr>
      <w:r>
        <w:rPr>
          <w:rFonts w:ascii="맑은 고딕" w:cs="맑은 고딕" w:eastAsia="맑은 고딕" w:hAnsi="맑은 고딕"/>
          <w:b/>
          <w:bCs/>
          <w:color w:val="C00000"/>
          <w:sz w:val="23"/>
          <w:szCs w:val="23"/>
        </w:rPr>
        <w:t xml:space="preserve">· 판례 오해형</w:t>
      </w:r>
    </w:p>
    <w:p>
      <w:pPr>
        <w:spacing w:after="20"/>
        <w:ind w:left="300"/>
      </w:pPr>
      <w:r>
        <w:rPr>
          <w:rFonts w:ascii="맑은 고딕" w:cs="맑은 고딕" w:eastAsia="맑은 고딕" w:hAnsi="맑은 고딕"/>
          <w:b/>
          <w:bCs/>
        </w:rPr>
        <w:t xml:space="preserve">진단: </w:t>
      </w:r>
      <w:r>
        <w:rPr>
          <w:rFonts w:ascii="맑은 고딕" w:cs="맑은 고딕" w:eastAsia="맑은 고딕" w:hAnsi="맑은 고딕"/>
        </w:rPr>
        <w:t xml:space="preserve">3문-2(대표이사 개인≠상인), 1문의6-(1)(점유자 지위 상실), 2문의1-(2)(한정승인 상계 소급소멸) 등 결정적 판례를 반대로 이해.</w:t>
      </w:r>
    </w:p>
    <w:p>
      <w:pPr>
        <w:spacing w:after="60"/>
        <w:ind w:left="300"/>
      </w:pPr>
      <w:r>
        <w:rPr>
          <w:rFonts w:ascii="맑은 고딕" w:cs="맑은 고딕" w:eastAsia="맑은 고딕" w:hAnsi="맑은 고딕"/>
          <w:b/>
          <w:bCs/>
          <w:color w:val="2E7D32"/>
        </w:rPr>
        <w:t xml:space="preserve">개선 방향: </w:t>
      </w:r>
      <w:r>
        <w:rPr>
          <w:rFonts w:ascii="맑은 고딕" w:cs="맑은 고딕" w:eastAsia="맑은 고딕" w:hAnsi="맑은 고딕"/>
        </w:rPr>
        <w:t xml:space="preserve">결론 한 줄을 카드 앞면에 먼저 쓰고 거꾸로 암기.</w:t>
      </w:r>
    </w:p>
    <w:p>
      <w:pPr>
        <w:spacing w:after="30" w:before="70"/>
      </w:pPr>
      <w:r>
        <w:rPr>
          <w:rFonts w:ascii="맑은 고딕" w:cs="맑은 고딕" w:eastAsia="맑은 고딕" w:hAnsi="맑은 고딕"/>
          <w:b/>
          <w:bCs/>
          <w:color w:val="C00000"/>
          <w:sz w:val="23"/>
          <w:szCs w:val="23"/>
        </w:rPr>
        <w:t xml:space="preserve">· 법리 대체형(틀린 도구)</w:t>
      </w:r>
    </w:p>
    <w:p>
      <w:pPr>
        <w:spacing w:after="20"/>
        <w:ind w:left="300"/>
      </w:pPr>
      <w:r>
        <w:rPr>
          <w:rFonts w:ascii="맑은 고딕" w:cs="맑은 고딕" w:eastAsia="맑은 고딕" w:hAnsi="맑은 고딕"/>
          <w:b/>
          <w:bCs/>
        </w:rPr>
        <w:t xml:space="preserve">진단: </w:t>
      </w:r>
      <w:r>
        <w:rPr>
          <w:rFonts w:ascii="맑은 고딕" w:cs="맑은 고딕" w:eastAsia="맑은 고딕" w:hAnsi="맑은 고딕"/>
        </w:rPr>
        <w:t xml:space="preserve">1문의1(조합론), 1문의6-(3)(상법57조), 2문의2(화해 제733조), 3문-4(제720조)처럼 인접하지만 틀린 법리를 끌어옴.</w:t>
      </w:r>
    </w:p>
    <w:p>
      <w:pPr>
        <w:spacing w:after="60"/>
        <w:ind w:left="300"/>
      </w:pPr>
      <w:r>
        <w:rPr>
          <w:rFonts w:ascii="맑은 고딕" w:cs="맑은 고딕" w:eastAsia="맑은 고딕" w:hAnsi="맑은 고딕"/>
          <w:b/>
          <w:bCs/>
          <w:color w:val="2E7D32"/>
        </w:rPr>
        <w:t xml:space="preserve">개선 방향: </w:t>
      </w:r>
      <w:r>
        <w:rPr>
          <w:rFonts w:ascii="맑은 고딕" w:cs="맑은 고딕" w:eastAsia="맑은 고딕" w:hAnsi="맑은 고딕"/>
        </w:rPr>
        <w:t xml:space="preserve">사실관계 키워드(위탁관리·수임인·소취하합의·손해방지)와 정답 조문을 1:1 매칭표로 정리.</w:t>
      </w:r>
    </w:p>
    <w:p>
      <w:pPr>
        <w:spacing w:after="30" w:before="70"/>
      </w:pPr>
      <w:r>
        <w:rPr>
          <w:rFonts w:ascii="맑은 고딕" w:cs="맑은 고딕" w:eastAsia="맑은 고딕" w:hAnsi="맑은 고딕"/>
          <w:b/>
          <w:bCs/>
          <w:color w:val="C00000"/>
          <w:sz w:val="23"/>
          <w:szCs w:val="23"/>
        </w:rPr>
        <w:t xml:space="preserve">· 각하/기각 구분 오류</w:t>
      </w:r>
    </w:p>
    <w:p>
      <w:pPr>
        <w:spacing w:after="20"/>
        <w:ind w:left="300"/>
      </w:pPr>
      <w:r>
        <w:rPr>
          <w:rFonts w:ascii="맑은 고딕" w:cs="맑은 고딕" w:eastAsia="맑은 고딕" w:hAnsi="맑은 고딕"/>
          <w:b/>
          <w:bCs/>
        </w:rPr>
        <w:t xml:space="preserve">진단: </w:t>
      </w:r>
      <w:r>
        <w:rPr>
          <w:rFonts w:ascii="맑은 고딕" w:cs="맑은 고딕" w:eastAsia="맑은 고딕" w:hAnsi="맑은 고딕"/>
        </w:rPr>
        <w:t xml:space="preserve">2문의3-(1)에서 본안 기각 사유를 각하로 처리.</w:t>
      </w:r>
    </w:p>
    <w:p>
      <w:pPr>
        <w:spacing w:after="60"/>
        <w:ind w:left="300"/>
      </w:pPr>
      <w:r>
        <w:rPr>
          <w:rFonts w:ascii="맑은 고딕" w:cs="맑은 고딕" w:eastAsia="맑은 고딕" w:hAnsi="맑은 고딕"/>
          <w:b/>
          <w:bCs/>
          <w:color w:val="2E7D32"/>
        </w:rPr>
        <w:t xml:space="preserve">개선 방향: </w:t>
      </w:r>
      <w:r>
        <w:rPr>
          <w:rFonts w:ascii="맑은 고딕" w:cs="맑은 고딕" w:eastAsia="맑은 고딕" w:hAnsi="맑은 고딕"/>
        </w:rPr>
        <w:t xml:space="preserve">"소송요건 흠결=각하 / 청구 이유없음=기각" 기준 고정.</w:t>
      </w:r>
    </w:p>
    <w:p>
      <w:pPr>
        <w:pBdr>
          <w:top w:val="single" w:color="2E75B6" w:sz="6" w:space="4"/>
        </w:pBdr>
        <w:spacing w:before="1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총괄 처방: </w:t>
      </w:r>
      <w:r>
        <w:rPr>
          <w:rFonts w:ascii="맑은 고딕" w:cs="맑은 고딕" w:eastAsia="맑은 고딕" w:hAnsi="맑은 고딕"/>
          <w:b/>
          <w:bCs/>
        </w:rPr>
        <w:t xml:space="preserve">결론을 먼저 고정하고 역방향으로 근거를 채우는 훈련 — 이번 회차 결론 오류·법리 누락 문항의 공통 처방입니다. (※ 1문의2처럼 출제 후 판례가 바뀐 문항은 현행 판례로 재확인할 것)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민사 사례형 첨삭 리포트 · 25년 8모 ·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2026-05-31T14:49:52.573Z</dcterms:created>
  <dcterms:modified xsi:type="dcterms:W3CDTF">2026-05-31T14:49:52.574Z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