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1A" w:val="clear"/>
        <w:spacing w:after="60" w:before="0"/>
        <w:ind w:left="120"/>
      </w:pPr>
      <w:r>
        <w:rPr>
          <w:rFonts w:ascii="맑은 고딕" w:cs="맑은 고딕" w:eastAsia="맑은 고딕" w:hAnsi="맑은 고딕"/>
          <w:b/>
          <w:bCs/>
          <w:color w:val="F0F0F0"/>
          <w:sz w:val="24"/>
          <w:szCs w:val="24"/>
        </w:rPr>
        <w:t xml:space="preserve">민법총칙  찌라시  </w:t>
      </w:r>
      <w:r>
        <w:rPr>
          <w:rFonts w:ascii="맑은 고딕" w:cs="맑은 고딕" w:eastAsia="맑은 고딕" w:hAnsi="맑은 고딕"/>
          <w:color w:val="888888"/>
          <w:sz w:val="15"/>
          <w:szCs w:val="15"/>
        </w:rPr>
        <w:t xml:space="preserve">신의칙 · 반사회질서 · 취득시효 · 권리능력 · 제한능력자  </w:t>
      </w:r>
      <w:r>
        <w:rPr>
          <w:rFonts w:ascii="맑은 고딕" w:cs="맑은 고딕" w:eastAsia="맑은 고딕" w:hAnsi="맑은 고딕"/>
          <w:color w:val="666666"/>
          <w:sz w:val="14"/>
          <w:szCs w:val="14"/>
        </w:rPr>
        <w:t xml:space="preserve">2026.05.25</w:t>
      </w:r>
    </w:p>
    <w:tbl>
      <w:tblPr>
        <w:tblW w:type="dxa" w:w="10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28"/>
        <w:gridCol w:w="3528"/>
        <w:gridCol w:w="3528"/>
      </w:tblGrid>
      <w:tr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  <w:vAlign w:val="top"/>
          </w:tcPr>
          <w:p>
            <w:pPr>
              <w:shd w:fill="2A2A2A" w:val="clear"/>
              <w:spacing w:after="20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E8E8E8"/>
                <w:sz w:val="15"/>
                <w:szCs w:val="15"/>
              </w:rPr>
              <w:t xml:space="preserve">Ⅰ. 신의칙 계열</w:t>
            </w: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1. 관습법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관행 + 법적확신 + 정당성·합리성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종중: 자연발생적인 종족 집단</w:t>
                  </w:r>
                </w:p>
              </w:tc>
            </w:tr>
          </w:tbl>
          <w:p>
            <w:pPr>
              <w:spacing w:after="10" w:before="0"/>
            </w:pP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2. 권리남용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[객] 권리의 존재·행사 + 실질적 사회질서 위반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이익형량·전략적 행동 유무·귀책성 종합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[주] 가해의사 (객관적 요건으로 추인 가능)</w:t>
                  </w:r>
                </w:p>
                <w:p>
                  <w:pPr>
                    <w:spacing w:after="6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none" w:color="FFFFFF" w:sz="0"/>
                          <w:left w:val="single" w:color="3B6EA5" w:sz="6"/>
                          <w:bottom w:val="none" w:color="FFFFFF" w:sz="0"/>
                          <w:right w:val="none" w:color="FFFFFF" w:sz="0"/>
                        </w:tcBorders>
                        <w:shd w:fill="EAF2FB" w:val="clear"/>
                        <w:tcMar>
                          <w:top w:type="dxa" w:w="28"/>
                          <w:left w:type="dxa" w:w="80"/>
                          <w:bottom w:type="dxa" w:w="28"/>
                          <w:right w:type="dxa" w:w="6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3B6EA5"/>
                            <w:sz w:val="14"/>
                            <w:szCs w:val="14"/>
                          </w:rPr>
                          <w:t xml:space="preserve">▶ 이.전.귀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3. 실효의 원칙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상당 기간 불행사 + 상대방 신뢰 + 행사 기대불가 + 행사제한</w:t>
                  </w:r>
                </w:p>
                <w:p>
                  <w:pPr>
                    <w:spacing w:after="6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none" w:color="FFFFFF" w:sz="0"/>
                          <w:left w:val="single" w:color="3B6EA5" w:sz="6"/>
                          <w:bottom w:val="none" w:color="FFFFFF" w:sz="0"/>
                          <w:right w:val="none" w:color="FFFFFF" w:sz="0"/>
                        </w:tcBorders>
                        <w:shd w:fill="EAF2FB" w:val="clear"/>
                        <w:tcMar>
                          <w:top w:type="dxa" w:w="28"/>
                          <w:left w:type="dxa" w:w="80"/>
                          <w:bottom w:type="dxa" w:w="28"/>
                          <w:right w:type="dxa" w:w="6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3B6EA5"/>
                            <w:sz w:val="14"/>
                            <w:szCs w:val="14"/>
                          </w:rPr>
                          <w:t xml:space="preserve">▶ 상.신.기행.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4. 사정변경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객관적 사정 + 현저히 변경 + 강제 명백히 부당 + 수정·해소 불가</w:t>
                  </w:r>
                </w:p>
                <w:p>
                  <w:pPr>
                    <w:spacing w:after="6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none" w:color="FFFFFF" w:sz="0"/>
                          <w:left w:val="single" w:color="3B6EA5" w:sz="6"/>
                          <w:bottom w:val="none" w:color="FFFFFF" w:sz="0"/>
                          <w:right w:val="none" w:color="FFFFFF" w:sz="0"/>
                        </w:tcBorders>
                        <w:shd w:fill="EAF2FB" w:val="clear"/>
                        <w:tcMar>
                          <w:top w:type="dxa" w:w="28"/>
                          <w:left w:type="dxa" w:w="80"/>
                          <w:bottom w:type="dxa" w:w="28"/>
                          <w:right w:type="dxa" w:w="6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3B6EA5"/>
                            <w:sz w:val="14"/>
                            <w:szCs w:val="14"/>
                          </w:rPr>
                          <w:t xml:space="preserve">▶ 객.현.명.수.해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5. 금반언·신의칙 한계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강행법규 입법취지 완전히 몰각 → 신의칙 적용 X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합법성 원칙 &gt; 신의성실 원칙</w:t>
                  </w:r>
                </w:p>
              </w:tc>
            </w:tr>
          </w:tbl>
          <w:p>
            <w:pPr>
              <w:spacing w:after="10" w:before="0"/>
            </w:pP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40"/>
            </w:tcMar>
            <w:vAlign w:val="top"/>
          </w:tcPr>
          <w:p>
            <w:pPr>
              <w:shd w:fill="2A2A2A" w:val="clear"/>
              <w:spacing w:after="20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E8E8E8"/>
                <w:sz w:val="15"/>
                <w:szCs w:val="15"/>
              </w:rPr>
              <w:t xml:space="preserve">Ⅱ. 반사회질서행위 §103</w:t>
            </w: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6. 부동산 이중매매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원칙: 계약자유 → 유효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예외: 제2매수인 배임에 적극 가담 → 반사회질서 무효</w:t>
                  </w:r>
                </w:p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이중매매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이중매매는 계약자유의 원칙에 비추어 유효함이 원칙이나 제2매수인이 매도인의 배임행위에 적극 가담한 경우에는 정의관념에 반하는 행위로서 반사회질서 행위로서 무효가 된다.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&lt;제2매수인 적극 가담 → 반사회질서 무효&gt;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  <w:p>
            <w:pPr>
              <w:shd w:fill="2A2A2A" w:val="clear"/>
              <w:spacing w:after="20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E8E8E8"/>
                <w:sz w:val="15"/>
                <w:szCs w:val="15"/>
              </w:rPr>
              <w:t xml:space="preserve">Ⅲ. 취득시효</w:t>
            </w: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7. 미분필 토지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다른 부분과 구분 + 점유 인식 징표 + 징표의 계속 존속</w:t>
                  </w:r>
                </w:p>
                <w:p>
                  <w:pPr>
                    <w:spacing w:after="6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none" w:color="FFFFFF" w:sz="0"/>
                          <w:left w:val="single" w:color="3B6EA5" w:sz="6"/>
                          <w:bottom w:val="none" w:color="FFFFFF" w:sz="0"/>
                          <w:right w:val="none" w:color="FFFFFF" w:sz="0"/>
                        </w:tcBorders>
                        <w:shd w:fill="EAF2FB" w:val="clear"/>
                        <w:tcMar>
                          <w:top w:type="dxa" w:w="28"/>
                          <w:left w:type="dxa" w:w="80"/>
                          <w:bottom w:type="dxa" w:w="28"/>
                          <w:right w:type="dxa" w:w="6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3B6EA5"/>
                            <w:sz w:val="14"/>
                            <w:szCs w:val="14"/>
                          </w:rPr>
                          <w:t xml:space="preserve">▶ 구.징.계</w:t>
                        </w:r>
                      </w:p>
                    </w:tc>
                  </w:tr>
                </w:tbl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미분필 토지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분필되지 않은 1필의 토지에 대해서도 그 부분이 다른 부분과 구분되어 시효취득자의 점유하에 속한다는 것을 인식하기에 충분한 징표가 있고 그 징표가 계속하여 존속한다면 취득시효가 인정된다.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&lt;구분·징표·계속 존속 → 취득시효 인정&gt;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hd w:fill="2A2A2A" w:val="clear"/>
              <w:spacing w:after="20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E8E8E8"/>
                <w:sz w:val="15"/>
                <w:szCs w:val="15"/>
              </w:rPr>
              <w:t xml:space="preserve">Ⅳ. 권리능력</w:t>
            </w: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8. 태아의 권리능력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불법행위·상속·유증·인지 O / 사인증여 X (계약)</w:t>
                  </w:r>
                </w:p>
                <w:p>
                  <w:pPr>
                    <w:spacing w:after="6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none" w:color="FFFFFF" w:sz="0"/>
                          <w:left w:val="single" w:color="3B6EA5" w:sz="6"/>
                          <w:bottom w:val="none" w:color="FFFFFF" w:sz="0"/>
                          <w:right w:val="none" w:color="FFFFFF" w:sz="0"/>
                        </w:tcBorders>
                        <w:shd w:fill="EAF2FB" w:val="clear"/>
                        <w:tcMar>
                          <w:top w:type="dxa" w:w="28"/>
                          <w:left w:type="dxa" w:w="80"/>
                          <w:bottom w:type="dxa" w:w="28"/>
                          <w:right w:type="dxa" w:w="60"/>
                        </w:tcMar>
                      </w:tcPr>
                      <w:p>
                        <w:pPr>
                          <w:spacing w:after="0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color w:val="3B6EA5"/>
                            <w:sz w:val="14"/>
                            <w:szCs w:val="14"/>
                          </w:rPr>
                          <w:t xml:space="preserve">▶ 불.상.유.인. (사X)</w:t>
                        </w:r>
                      </w:p>
                    </w:tc>
                  </w:tr>
                </w:tbl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정지조건설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태아가 권리를 취득한다고 하더라도 현행법상 이를 대행할 기관이 없어 태아로 있는 동안은 권리능력을 취득할 수 없다고 하여 정지조건설.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&lt;정지조건설&gt;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9. 의사무능력자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구체적·개별적 판단 (법률적 의미·효과도 이해 요구)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법률행위 무효 + §141 단서 유추적용</w:t>
                  </w:r>
                </w:p>
              </w:tc>
            </w:tr>
          </w:tbl>
          <w:p>
            <w:pPr>
              <w:spacing w:after="10" w:before="0"/>
            </w:pPr>
          </w:p>
          <w:p>
            <w:pPr>
              <w:shd w:fill="2A2A2A" w:val="clear"/>
              <w:spacing w:after="20" w:before="0"/>
              <w:ind w:left="70"/>
            </w:pPr>
            <w:r>
              <w:rPr>
                <w:rFonts w:ascii="맑은 고딕" w:cs="맑은 고딕" w:eastAsia="맑은 고딕" w:hAnsi="맑은 고딕"/>
                <w:b/>
                <w:bCs/>
                <w:color w:val="E8E8E8"/>
                <w:sz w:val="15"/>
                <w:szCs w:val="15"/>
              </w:rPr>
              <w:t xml:space="preserve">Ⅴ. 제한능력자 — 미성년자</w:t>
            </w:r>
          </w:p>
          <w:tbl>
            <w:tblPr>
              <w:tblW w:type="dxa" w:w="352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528"/>
            </w:tblGrid>
            <w:tr>
              <w:tc>
                <w:tcPr>
                  <w:tcW w:type="dxa" w:w="3528"/>
                  <w:tcBorders>
                    <w:top w:val="single" w:color="E0D9CE" w:sz="1"/>
                    <w:left w:val="single" w:color="E0D9CE" w:sz="1"/>
                    <w:bottom w:val="single" w:color="E0D9CE" w:sz="1"/>
                    <w:right w:val="single" w:color="E0D9CE" w:sz="1"/>
                  </w:tcBorders>
                  <w:shd w:fill="F6F3EE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</w:tcPr>
                <w:p>
                  <w:pPr>
                    <w:spacing w:after="8" w:before="0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B3A6B"/>
                      <w:sz w:val="17"/>
                      <w:szCs w:val="17"/>
                    </w:rPr>
                    <w:t xml:space="preserve">10. 미성년자 법률행위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① 강행규정: 거래안전 희생 → 본인 보호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② §5①: 법정대리인 동의 (묵시적 가능)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동의 유무: ⑴ 독자적 소득  ⑵ 계약 내용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③ 신용카드 취소 → 매매 유효, 물품채무액 반환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④ §920: 법정대리권 무제한 원칙</w:t>
                  </w:r>
                </w:p>
                <w:p>
                  <w:pPr>
                    <w:spacing w:after="3" w:before="3"/>
                    <w:ind w:left="0"/>
                  </w:pPr>
                  <w:r>
                    <w:rPr>
                      <w:rFonts w:ascii="맑은 고딕" w:cs="맑은 고딕" w:eastAsia="맑은 고딕" w:hAnsi="맑은 고딕"/>
                      <w:color w:val="2C2C2C"/>
                      <w:sz w:val="15"/>
                      <w:szCs w:val="15"/>
                    </w:rPr>
                    <w:t xml:space="preserve">· ⑤ 이해상반: 형식적 판단설 (객.이.의.실.형)</w:t>
                  </w:r>
                </w:p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강행규정성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제한능력자제도는 거래의 안전을 희생시키는 것을 감수하면서 제한능력자 본인을 보호하는 데 그 목적을 두고 있는 강행규정으로서 이에 반하는 계약은 효력이 없다.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&lt;거래안전 희생 → 본인보호 강행규정&gt;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묵시적 동의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미성년자가 법률행위를 함에는 법정대리인의 동의를 얻어야 하는바(§5① 본문) 이는 묵시적으로도 가능하나, 동의를 얻지 않고 한 행위는 본인 또는 법정대리인이 취소할 수 있다.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&lt;묵시적 동의 가능, 무동의 → 취소&gt;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>
                  <w:pPr>
                    <w:spacing w:after="10" w:before="0"/>
                  </w:pPr>
                </w:p>
                <w:tbl>
                  <w:tblPr>
                    <w:tblW w:type="dxa" w:w="3328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3328"/>
                  </w:tblGrid>
                  <w:tr>
                    <w:tc>
                      <w:tcPr>
                        <w:tcW w:type="dxa" w:w="3328"/>
                        <w:tcBorders>
                          <w:top w:val="single" w:color="DDDDDD" w:sz="1"/>
                          <w:left w:val="thick" w:color="C0392B" w:sz="18"/>
                          <w:bottom w:val="single" w:color="DDDDDD" w:sz="1"/>
                          <w:right w:val="single" w:color="DDDDDD" w:sz="1"/>
                        </w:tcBorders>
                        <w:shd w:fill="FFFFFF" w:val="clear"/>
                        <w:tcMar>
                          <w:top w:type="dxa" w:w="55"/>
                          <w:left w:type="dxa" w:w="110"/>
                          <w:bottom w:type="dxa" w:w="55"/>
                          <w:right w:type="dxa" w:w="70"/>
                        </w:tcMar>
                      </w:tcPr>
                      <w:p>
                        <w:pPr>
                          <w:spacing w:after="8" w:before="0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判  </w:t>
                        </w:r>
                        <w:r>
                          <w:rPr>
                            <w:rFonts w:ascii="맑은 고딕" w:cs="맑은 고딕" w:eastAsia="맑은 고딕" w:hAnsi="맑은 고딕"/>
                            <w:color w:val="AAAAAA"/>
                            <w:sz w:val="13"/>
                            <w:szCs w:val="13"/>
                          </w:rPr>
                          <w:t xml:space="preserve">이해상반행위</w:t>
                        </w:r>
                      </w:p>
                      <w:p>
                        <w:pPr>
                          <w:spacing w:line="276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color w:val="111111"/>
                            <w:sz w:val="20"/>
                            <w:szCs w:val="20"/>
                          </w:rPr>
                          <w:t xml:space="preserve">행위의 객관적 성질상 친권자와 자 사이에 이해의 대립이 생길 우려가 있는 행위를 의미하며 친권자의 의도나 실질적으로 이해의 대립이 생겼는가는 묻지 않는다 — 형식적 판단설.</w:t>
                        </w:r>
                      </w:p>
                      <w:p>
                        <w:pPr>
                          <w:spacing w:after="0" w:before="10" w:line="260" w:lineRule="auto"/>
                        </w:pP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rFonts w:ascii="맑은 고딕" w:cs="맑은 고딕" w:eastAsia="맑은 고딕" w:hAnsi="맑은 고딕"/>
                            <w:b/>
                            <w:bCs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>&lt;객관적 성질 기준 → 형식적 판단설&gt;</w:t>
                        </w:r>
                        <w:r>
                          <w:rPr>
                            <w:rFonts w:ascii="맑은 고딕" w:cs="맑은 고딕" w:eastAsia="맑은 고딕" w:hAnsi="맑은 고딕"/>
                            <w:i/>
                            <w:iCs/>
                            <w:color w:val="B22222"/>
                            <w:sz w:val="18"/>
                            <w:szCs w:val="18"/>
                          </w:rPr>
                          <w:t xml:space="preserve"/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10" w:before="0"/>
            </w:pPr>
          </w:p>
        </w:tc>
      </w:tr>
    </w:tbl>
    <w:sectPr>
      <w:pgSz w:w="11906" w:h="16838" w:orient="portrait"/>
      <w:pgMar w:top="520" w:right="520" w:bottom="520" w:left="5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2026-05-26T07:12:43.699Z</dcterms:created>
  <dcterms:modified xsi:type="dcterms:W3CDTF">2026-05-26T07:12:43.700Z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