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60" w:before="60"/>
        <w:ind w:left="80"/>
      </w:pP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민사소송법 핵심논점 찌라시 — 논점 004 관할</w:t>
      </w:r>
    </w:p>
    <w:p>
      <w:pPr>
        <w:spacing w:after="16" w:before="0"/>
      </w:pPr>
      <w:r>
        <w:t xml:space="preserve"/>
      </w:r>
    </w:p>
    <w:p>
      <w:pPr>
        <w:pBdr>
          <w:bottom w:val="single" w:color="2F5496" w:sz="6"/>
        </w:pBdr>
        <w:spacing w:after="28" w:before="60"/>
      </w:pPr>
      <w:r>
        <w:rPr>
          <w:rFonts w:ascii="Malgun Gothic" w:cs="Malgun Gothic" w:eastAsia="Malgun Gothic" w:hAnsi="Malgun Gothic"/>
          <w:color w:val="888888"/>
          <w:sz w:val="16"/>
          <w:szCs w:val="16"/>
        </w:rPr>
        <w:t xml:space="preserve">논점 004  </w:t>
      </w:r>
      <w:r>
        <w:rPr>
          <w:rFonts w:ascii="Malgun Gothic" w:cs="Malgun Gothic" w:eastAsia="Malgun Gothic" w:hAnsi="Malgun Gothic"/>
          <w:b/>
          <w:bCs/>
          <w:color w:val="2F5496"/>
          <w:sz w:val="20"/>
          <w:szCs w:val="20"/>
        </w:rPr>
        <w:t xml:space="preserve">관할</w:t>
      </w:r>
      <w:r>
        <w:rPr>
          <w:rFonts w:ascii="Malgun Gothic" w:cs="Malgun Gothic" w:eastAsia="Malgun Gothic" w:hAnsi="Malgun Gothic"/>
          <w:color w:val="CC8800"/>
          <w:sz w:val="18"/>
          <w:szCs w:val="18"/>
        </w:rPr>
        <w:t xml:space="preserve">  ★★★</w:t>
      </w:r>
    </w:p>
    <w:p>
      <w:pPr>
        <w:spacing w:after="12" w:before="0"/>
      </w:pPr>
      <w:r>
        <w:t xml:space="preserve"/>
      </w:r>
    </w:p>
    <w:tbl>
      <w:tblPr>
        <w:tblW w:type="dxa" w:w="106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50"/>
        <w:gridCol w:w="4556"/>
      </w:tblGrid>
      <w:tr>
        <w:tc>
          <w:tcPr>
            <w:tcW w:type="dxa" w:w="6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4"/>
              <w:left w:type="dxa" w:w="80"/>
              <w:bottom w:type="dxa" w:w="44"/>
              <w:right w:type="dxa" w:w="60"/>
            </w:tcMar>
            <w:vAlign w:val="top"/>
          </w:tcPr>
          <w:p>
            <w:pPr>
              <w:spacing w:after="8" w:before="18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◆ 사례풀이구조</w:t>
            </w:r>
          </w:p>
          <w:p>
            <w:pPr>
              <w:spacing w:after="2" w:before="12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6"/>
                <w:szCs w:val="16"/>
              </w:rPr>
              <w:t xml:space="preserve">전체 구조 두문자</w:t>
            </w:r>
          </w:p>
          <w:p>
            <w:pPr>
              <w:pBdr>
                <w:left w:val="single" w:color="1F3864" w:sz="12"/>
              </w:pBdr>
              <w:shd w:fill="FCE4D6" w:val="clear"/>
              <w:spacing w:after="10" w:before="1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보특관경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유모변주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이변</w:t>
            </w:r>
          </w:p>
          <w:p>
            <w:pPr>
              <w:spacing w:after="6" w:before="0"/>
            </w:pPr>
            <w:r>
              <w:t xml:space="preserve"/>
            </w:r>
          </w:p>
          <w:p>
            <w:pPr>
              <w:spacing w:after="5" w:before="5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I. 관할위반의 소제기인지 판단</w:t>
            </w:r>
          </w:p>
          <w:p>
            <w:pPr>
              <w:spacing w:after="5" w:before="5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1. 법정관할</w:t>
            </w:r>
          </w:p>
          <w:p>
            <w:pPr>
              <w:spacing w:after="5" w:before="5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  가. 직분관할 — 전속관할, 직권조사</w:t>
            </w:r>
          </w:p>
          <w:p>
            <w:pPr>
              <w:spacing w:after="5" w:before="5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  나. 사물관할 — 합의부(5억↑) / 단독(5억↓)</w:t>
            </w:r>
          </w:p>
          <w:p>
            <w:pPr>
              <w:spacing w:after="5" w:before="5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  다. 토지관할</w:t>
            </w:r>
          </w:p>
          <w:p>
            <w:pPr>
              <w:spacing w:after="2" w:before="12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6"/>
                <w:szCs w:val="16"/>
              </w:rPr>
              <w:t xml:space="preserve">토지관할 구성 — 보특관경</w:t>
            </w:r>
          </w:p>
          <w:p>
            <w:pPr>
              <w:pBdr>
                <w:left w:val="single" w:color="1F3864" w:sz="12"/>
              </w:pBdr>
              <w:shd w:fill="FCE4D6" w:val="clear"/>
              <w:spacing w:after="10" w:before="1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보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통재판적 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특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별재판적 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관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련재판적 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경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합</w:t>
            </w:r>
          </w:p>
          <w:p>
            <w:pPr>
              <w:spacing w:after="4" w:before="0"/>
            </w:pPr>
            <w:r>
              <w:t xml:space="preserve"/>
            </w:r>
          </w:p>
          <w:p>
            <w:pPr>
              <w:spacing w:after="5" w:before="5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2. 지정관할 §28</w:t>
            </w:r>
          </w:p>
          <w:p>
            <w:pPr>
              <w:spacing w:after="5" w:before="5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3. 가동관할</w:t>
            </w:r>
          </w:p>
          <w:p>
            <w:pPr>
              <w:spacing w:after="2" w:before="12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6"/>
                <w:szCs w:val="16"/>
              </w:rPr>
              <w:t xml:space="preserve">합의관할 구성 — 유모변주</w:t>
            </w:r>
          </w:p>
          <w:p>
            <w:pPr>
              <w:pBdr>
                <w:left w:val="single" w:color="1F3864" w:sz="12"/>
              </w:pBdr>
              <w:shd w:fill="FCE4D6" w:val="clear"/>
              <w:spacing w:after="10" w:before="1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효성 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모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습 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변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동(효력) 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주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관적 범위</w:t>
            </w:r>
          </w:p>
          <w:p>
            <w:pPr>
              <w:spacing w:after="4" w:before="0"/>
            </w:pPr>
            <w:r>
              <w:t xml:space="preserve"/>
            </w:r>
          </w:p>
          <w:p>
            <w:pPr>
              <w:spacing w:after="5" w:before="5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  나. 변론관할 §30</w:t>
            </w:r>
          </w:p>
          <w:p>
            <w:pPr>
              <w:spacing w:after="6" w:before="0"/>
            </w:pPr>
            <w:r>
              <w:t xml:space="preserve"/>
            </w:r>
          </w:p>
          <w:p>
            <w:pPr>
              <w:spacing w:after="5" w:before="5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II. 관할위반 시 법원의 조치</w:t>
            </w:r>
          </w:p>
          <w:p>
            <w:pPr>
              <w:spacing w:after="5" w:before="5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(임의관할위반) 변론기일 지정 →</w:t>
            </w:r>
          </w:p>
          <w:p>
            <w:pPr>
              <w:spacing w:after="5" w:before="5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① 피고 본안변론(구술) → 변론관할 발생 §30, 속행</w:t>
            </w:r>
          </w:p>
          <w:p>
            <w:pPr>
              <w:spacing w:after="5" w:before="5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② 피고 항변 → 이송 §34①</w:t>
            </w:r>
          </w:p>
          <w:p>
            <w:pPr>
              <w:spacing w:after="6" w:before="0"/>
            </w:pPr>
            <w:r>
              <w:t xml:space="preserve"/>
            </w:r>
          </w:p>
          <w:p>
            <w:pPr>
              <w:spacing w:after="5" w:before="5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III. 소송의 이송 §34~§36 (이변)</w:t>
            </w:r>
          </w:p>
        </w:tc>
        <w:tc>
          <w:tcPr>
            <w:tcW w:type="dxa" w:w="4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4"/>
              <w:left w:type="dxa" w:w="60"/>
              <w:bottom w:type="dxa" w:w="44"/>
              <w:right w:type="dxa" w:w="60"/>
            </w:tcMar>
            <w:vAlign w:val="top"/>
          </w:tcPr>
          <w:p>
            <w:pPr>
              <w:spacing w:after="3" w:before="14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6"/>
                <w:szCs w:val="16"/>
              </w:rPr>
              <w:t xml:space="preserve">▷ 이송신청권 — 부정</w:t>
            </w:r>
          </w:p>
          <w:p>
            <w:pPr>
              <w:pBdr>
                <w:top w:val="single" w:color="CCCCCC" w:sz="2"/>
                <w:left w:val="single" w:color="CC0000" w:sz="12"/>
              </w:pBdr>
              <w:shd w:fill="FFFACD" w:val="clear"/>
              <w:spacing w:after="3" w:before="3"/>
              <w:ind w:left="8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이송신청 =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6"/>
                <w:szCs w:val="16"/>
              </w:rPr>
              <w:t xml:space="preserve">직권발동 촉구</w:t>
            </w: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에 불과</w:t>
            </w:r>
          </w:p>
          <w:p>
            <w:pPr>
              <w:pBdr>
                <w:bottom w:val="single" w:color="CCCCCC" w:sz="2"/>
                <w:left w:val="single" w:color="CC0000" w:sz="12"/>
              </w:pBdr>
              <w:shd w:fill="FFFACD" w:val="clear"/>
              <w:spacing w:after="3" w:before="3"/>
              <w:ind w:left="8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이송신청에 재판 불요, 항고·특별항고 불허</w:t>
            </w:r>
          </w:p>
          <w:p>
            <w:pPr>
              <w:spacing w:after="10" w:before="0"/>
            </w:pPr>
            <w:r>
              <w:t xml:space="preserve"/>
            </w:r>
          </w:p>
          <w:p>
            <w:pPr>
              <w:spacing w:after="3" w:before="14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6"/>
                <w:szCs w:val="16"/>
              </w:rPr>
              <w:t xml:space="preserve">▷ 전속관할위반 이송결정 — 기속력 O</w:t>
            </w:r>
          </w:p>
          <w:p>
            <w:pPr>
              <w:pBdr>
                <w:top w:val="single" w:color="CCCCCC" w:sz="2"/>
                <w:left w:val="single" w:color="CC0000" w:sz="12"/>
              </w:pBdr>
              <w:shd w:fill="FFFACD" w:val="clear"/>
              <w:spacing w:after="3" w:before="3"/>
              <w:ind w:left="8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심급관할위반 예외: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6"/>
                <w:szCs w:val="16"/>
              </w:rPr>
              <w:t xml:space="preserve">상급심 기속력 X</w:t>
            </w: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6"/>
                <w:szCs w:val="16"/>
              </w:rPr>
              <w:t xml:space="preserve">하급심 기속력 O</w:t>
            </w:r>
          </w:p>
          <w:p>
            <w:pPr>
              <w:pBdr>
                <w:bottom w:val="single" w:color="CCCCCC" w:sz="2"/>
                <w:left w:val="single" w:color="CC0000" w:sz="12"/>
              </w:pBdr>
              <w:shd w:fill="FFFACD" w:val="clear"/>
              <w:spacing w:after="3" w:before="3"/>
              <w:ind w:left="8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(심급이익 박탈방지 vs 전전이송방지 조화)</w:t>
            </w:r>
          </w:p>
          <w:p>
            <w:pPr>
              <w:spacing w:after="10" w:before="0"/>
            </w:pPr>
            <w:r>
              <w:t xml:space="preserve"/>
            </w:r>
          </w:p>
          <w:p>
            <w:pPr>
              <w:spacing w:after="3" w:before="14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6"/>
                <w:szCs w:val="16"/>
              </w:rPr>
              <w:t xml:space="preserve">▷ 이송 후 소송계속</w:t>
            </w:r>
          </w:p>
          <w:p>
            <w:pPr>
              <w:pBdr>
                <w:top w:val="single" w:color="CCCCCC" w:sz="2"/>
                <w:left w:val="single" w:color="CC0000" w:sz="12"/>
              </w:pBdr>
              <w:shd w:fill="FFFACD" w:val="clear"/>
              <w:spacing w:after="3" w:before="3"/>
              <w:ind w:left="8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이송결정 확정 → 처음부터 이송받은 법원에 계속</w:t>
            </w:r>
          </w:p>
          <w:p>
            <w:pPr>
              <w:pBdr>
                <w:bottom w:val="single" w:color="CCCCCC" w:sz="2"/>
                <w:left w:val="single" w:color="CC0000" w:sz="12"/>
              </w:pBdr>
              <w:shd w:fill="FFFACD" w:val="clear"/>
              <w:spacing w:after="3" w:before="3"/>
              <w:ind w:left="8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→ 시효중단·기간준수 효력 이송 후에도 유지</w:t>
            </w:r>
          </w:p>
        </w:tc>
      </w:tr>
      <w:tr>
        <w:tc>
          <w:tcPr>
            <w:tcW w:type="dxa" w:w="6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4"/>
              <w:left w:type="dxa" w:w="80"/>
              <w:bottom w:type="dxa" w:w="44"/>
              <w:right w:type="dxa" w:w="60"/>
            </w:tcMar>
            <w:vAlign w:val="top"/>
          </w:tcPr>
          <w:p>
            <w:pPr>
              <w:spacing w:after="8" w:before="18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I. 사물관할 — 소가 산정</w:t>
            </w:r>
          </w:p>
          <w:p>
            <w:pPr>
              <w:spacing w:after="2" w:before="12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6"/>
                <w:szCs w:val="16"/>
              </w:rPr>
              <w:t xml:space="preserve">소가 산정 두문자</w:t>
            </w:r>
          </w:p>
          <w:p>
            <w:pPr>
              <w:pBdr>
                <w:left w:val="single" w:color="1F3864" w:sz="12"/>
              </w:pBdr>
              <w:shd w:fill="FCE4D6" w:val="clear"/>
              <w:spacing w:after="10" w:before="1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원칙: 합산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|  예외: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홉수</w:t>
            </w:r>
          </w:p>
          <w:p>
            <w:pPr>
              <w:spacing w:after="5" w:before="5"/>
              <w:ind w:left="1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· 홉수 사유: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선택적·예비적 병합  ② 목적-수단관계  ③ 부대청구(이자·지연이자)  ④ 변론병합</w:t>
            </w:r>
          </w:p>
        </w:tc>
        <w:tc>
          <w:tcPr>
            <w:tcW w:type="dxa" w:w="4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4"/>
              <w:left w:type="dxa" w:w="60"/>
              <w:bottom w:type="dxa" w:w="44"/>
              <w:right w:type="dxa" w:w="60"/>
            </w:tcMar>
            <w:vAlign w:val="top"/>
          </w:tcPr>
          <w:p>
            <w:pPr>
              <w:spacing w:after="3" w:before="14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6"/>
                <w:szCs w:val="16"/>
              </w:rPr>
              <w:t xml:space="preserve">▷ 병합심리 소액사건 소가초과</w:t>
            </w:r>
          </w:p>
          <w:p>
            <w:pPr>
              <w:pBdr>
                <w:top w:val="single" w:color="CCCCCC" w:sz="2"/>
                <w:left w:val="single" w:color="CC0000" w:sz="12"/>
              </w:pBdr>
              <w:shd w:fill="FFFACD" w:val="clear"/>
              <w:spacing w:after="3" w:before="3"/>
              <w:ind w:left="8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소액사건 여부: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6"/>
                <w:szCs w:val="16"/>
              </w:rPr>
              <w:t xml:space="preserve">제소 당시</w:t>
            </w: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 기준</w:t>
            </w:r>
          </w:p>
          <w:p>
            <w:pPr>
              <w:pBdr>
                <w:bottom w:val="single" w:color="CCCCCC" w:sz="2"/>
                <w:left w:val="single" w:color="CC0000" w:sz="12"/>
              </w:pBdr>
              <w:shd w:fill="FFFACD" w:val="clear"/>
              <w:spacing w:after="3" w:before="3"/>
              <w:ind w:left="8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병합심리로 합산액 초과해도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6"/>
                <w:szCs w:val="16"/>
              </w:rPr>
              <w:t xml:space="preserve">소액사건임에 변함없다</w:t>
            </w:r>
          </w:p>
        </w:tc>
      </w:tr>
      <w:tr>
        <w:tc>
          <w:tcPr>
            <w:tcW w:type="dxa" w:w="6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4"/>
              <w:left w:type="dxa" w:w="80"/>
              <w:bottom w:type="dxa" w:w="44"/>
              <w:right w:type="dxa" w:w="60"/>
            </w:tcMar>
            <w:vAlign w:val="top"/>
          </w:tcPr>
          <w:p>
            <w:pPr>
              <w:spacing w:after="8" w:before="18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II. 토지관할 — §8 특별재판적 (의무이행지)</w:t>
            </w:r>
          </w:p>
          <w:p>
            <w:pPr>
              <w:spacing w:after="5" w:before="5"/>
              <w:ind w:left="1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· 원칙: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재산권 소 → 채권자(원고) 주소지</w:t>
            </w:r>
          </w:p>
          <w:p>
            <w:pPr>
              <w:spacing w:after="4" w:before="0"/>
            </w:pPr>
            <w:r>
              <w:t xml:space="preserve"/>
            </w:r>
          </w:p>
          <w:p>
            <w:pPr>
              <w:spacing w:after="5" w:before="5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[예외 — 원고 주소지 X]</w:t>
            </w:r>
          </w:p>
          <w:p>
            <w:pPr>
              <w:spacing w:after="2" w:before="12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6"/>
                <w:szCs w:val="16"/>
              </w:rPr>
              <w:t xml:space="preserve">예외 4가지 두문자 — 특어등불</w:t>
            </w:r>
          </w:p>
          <w:p>
            <w:pPr>
              <w:pBdr>
                <w:left w:val="single" w:color="1F3864" w:sz="12"/>
              </w:pBdr>
              <w:shd w:fill="FCE4D6" w:val="clear"/>
              <w:spacing w:after="10" w:before="1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특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정물인도: 물건소재지 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어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음수표: 지급지 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등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기협조: 등기소 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불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법행위: §18만 적용(의무이행지 제외)</w:t>
            </w:r>
          </w:p>
          <w:p>
            <w:pPr>
              <w:spacing w:after="6" w:before="0"/>
            </w:pPr>
            <w:r>
              <w:t xml:space="preserve"/>
            </w:r>
          </w:p>
          <w:p>
            <w:pPr>
              <w:spacing w:after="8" w:before="18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[사해행위취소소송 의무이행지]</w:t>
            </w:r>
          </w:p>
          <w:p>
            <w:pPr>
              <w:spacing w:after="3" w:before="3"/>
              <w:ind w:left="36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- 취소 대상 법률행위의 의무이행지 X</w:t>
            </w:r>
          </w:p>
          <w:p>
            <w:pPr>
              <w:spacing w:after="3" w:before="3"/>
              <w:ind w:left="36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- → 취소로 형성되는 법률관계의 의무이행지</w:t>
            </w:r>
          </w:p>
          <w:p>
            <w:pPr>
              <w:spacing w:after="3" w:before="3"/>
              <w:ind w:left="36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- = 등기소 소재지 §21  (원고 주소지 X)</w:t>
            </w:r>
          </w:p>
        </w:tc>
        <w:tc>
          <w:tcPr>
            <w:tcW w:type="dxa" w:w="4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4"/>
              <w:left w:type="dxa" w:w="60"/>
              <w:bottom w:type="dxa" w:w="44"/>
              <w:right w:type="dxa" w:w="60"/>
            </w:tcMar>
            <w:vAlign w:val="top"/>
          </w:tcPr>
          <w:p>
            <w:pPr>
              <w:spacing w:after="3" w:before="14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6"/>
                <w:szCs w:val="16"/>
              </w:rPr>
              <w:t xml:space="preserve">▷ 불법행위채무 의무이행지 제외</w:t>
            </w:r>
          </w:p>
          <w:p>
            <w:pPr>
              <w:pBdr>
                <w:top w:val="single" w:color="CCCCCC" w:sz="2"/>
                <w:left w:val="single" w:color="CC0000" w:sz="12"/>
              </w:pBdr>
              <w:shd w:fill="FFFACD" w:val="clear"/>
              <w:spacing w:after="3" w:before="3"/>
              <w:ind w:left="8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피고가 예측 못한 곳에서 응소 강요 →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6"/>
                <w:szCs w:val="16"/>
              </w:rPr>
              <w:t xml:space="preserve">공평에 반함</w:t>
            </w:r>
          </w:p>
          <w:p>
            <w:pPr>
              <w:pBdr>
                <w:bottom w:val="single" w:color="CCCCCC" w:sz="2"/>
                <w:left w:val="single" w:color="CC0000" w:sz="12"/>
              </w:pBdr>
              <w:shd w:fill="FFFACD" w:val="clear"/>
              <w:spacing w:after="3" w:before="3"/>
              <w:ind w:left="8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∴ 불법행위채무 이행지 ≠ 피해자(원고) 주소지</w:t>
            </w:r>
          </w:p>
          <w:p>
            <w:pPr>
              <w:spacing w:after="10" w:before="0"/>
            </w:pPr>
            <w:r>
              <w:t xml:space="preserve"/>
            </w:r>
          </w:p>
          <w:p>
            <w:pPr>
              <w:spacing w:after="3" w:before="14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6"/>
                <w:szCs w:val="16"/>
              </w:rPr>
              <w:t xml:space="preserve">▷ 사해행위취소소송 의무이행지</w:t>
            </w:r>
          </w:p>
          <w:p>
            <w:pPr>
              <w:pBdr>
                <w:top w:val="single" w:color="CCCCCC" w:sz="2"/>
                <w:left w:val="single" w:color="CC0000" w:sz="12"/>
              </w:pBdr>
              <w:shd w:fill="FFFACD" w:val="clear"/>
              <w:spacing w:after="3" w:before="3"/>
              <w:ind w:left="8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채권자의 주된 목적 =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6"/>
                <w:szCs w:val="16"/>
              </w:rPr>
              <w:t xml:space="preserve">일탈재산 회복</w:t>
            </w:r>
          </w:p>
          <w:p>
            <w:pPr>
              <w:pBdr>
                <w:left w:val="single" w:color="CC0000" w:sz="12"/>
              </w:pBdr>
              <w:shd w:fill="FFFACD" w:val="clear"/>
              <w:spacing w:after="3" w:before="3"/>
              <w:ind w:left="8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∴ 의무이행지 = 취소로 형성되는 법률관계의 이행지</w:t>
            </w:r>
          </w:p>
          <w:p>
            <w:pPr>
              <w:pBdr>
                <w:bottom w:val="single" w:color="CCCCCC" w:sz="2"/>
                <w:left w:val="single" w:color="CC0000" w:sz="12"/>
              </w:pBdr>
              <w:shd w:fill="FFFACD" w:val="clear"/>
              <w:spacing w:after="3" w:before="3"/>
              <w:ind w:left="8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=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6"/>
                <w:szCs w:val="16"/>
              </w:rPr>
              <w:t xml:space="preserve">등기소 소재지</w:t>
            </w: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 §21  (원고 주소지 X)</w:t>
            </w:r>
          </w:p>
        </w:tc>
      </w:tr>
      <w:tr>
        <w:tc>
          <w:tcPr>
            <w:tcW w:type="dxa" w:w="6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4"/>
              <w:left w:type="dxa" w:w="80"/>
              <w:bottom w:type="dxa" w:w="44"/>
              <w:right w:type="dxa" w:w="60"/>
            </w:tcMar>
            <w:vAlign w:val="top"/>
          </w:tcPr>
          <w:p>
            <w:pPr>
              <w:spacing w:after="8" w:before="18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III. 토지관할 — §24 지재권·국제거래 특별재판적</w:t>
            </w:r>
          </w:p>
          <w:p>
            <w:pPr>
              <w:spacing w:after="5" w:before="5"/>
              <w:ind w:left="1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· §24①: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특허 제외 지재권·국제거래 → 고등법원 소재지 지방법원 (임의관할)</w:t>
            </w:r>
          </w:p>
          <w:p>
            <w:pPr>
              <w:spacing w:after="5" w:before="5"/>
              <w:ind w:left="1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· §24②: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특허권 등 지재권 → 고등법원 소재지 지방법원 (전속관할)</w:t>
            </w:r>
          </w:p>
          <w:p>
            <w:pPr>
              <w:spacing w:after="5" w:before="5"/>
              <w:ind w:left="1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· §24③: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원고 선택으로 서울중앙지방법원 추가 가능</w:t>
            </w:r>
          </w:p>
          <w:p>
            <w:pPr>
              <w:spacing w:after="5" w:before="5"/>
              <w:ind w:left="1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· 항소심: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특허권 등 지재권 → 특허법원 전속관할</w:t>
            </w:r>
          </w:p>
          <w:p>
            <w:pPr>
              <w:spacing w:after="5" w:before="5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※ 서울지역: 서울중앙지방법원으로 한정 (§24①② 단서)</w:t>
            </w:r>
          </w:p>
        </w:tc>
        <w:tc>
          <w:tcPr>
            <w:tcW w:type="dxa" w:w="4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4"/>
              <w:left w:type="dxa" w:w="60"/>
              <w:bottom w:type="dxa" w:w="44"/>
              <w:right w:type="dxa" w:w="60"/>
            </w:tcMar>
            <w:vAlign w:val="top"/>
          </w:tcPr>
          <w:p>
            <w:pPr>
              <w:spacing w:after="3" w:before="14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6"/>
                <w:szCs w:val="16"/>
              </w:rPr>
              <w:t xml:space="preserve">▷ 특허권 등 지재권 항소심</w:t>
            </w:r>
          </w:p>
          <w:p>
            <w:pPr>
              <w:pBdr>
                <w:top w:val="single" w:color="CCCCCC" w:sz="2"/>
                <w:left w:val="single" w:color="CC0000" w:sz="12"/>
              </w:pBdr>
              <w:shd w:fill="FFFACD" w:val="clear"/>
              <w:spacing w:after="3" w:before="3"/>
              <w:ind w:left="8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법원조직법: 특허권 등 지재권 민사 항소사건 →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6"/>
                <w:szCs w:val="16"/>
              </w:rPr>
              <w:t xml:space="preserve">특허법원 전속관할</w:t>
            </w:r>
          </w:p>
          <w:p>
            <w:pPr>
              <w:pBdr>
                <w:bottom w:val="single" w:color="CCCCCC" w:sz="2"/>
                <w:left w:val="single" w:color="CC0000" w:sz="12"/>
              </w:pBdr>
              <w:shd w:fill="FFFACD" w:val="clear"/>
              <w:spacing w:after="3" w:before="3"/>
              <w:ind w:left="8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→ 항소심(지법합의부)은 특허법원으로 이송해야 함</w:t>
            </w:r>
          </w:p>
        </w:tc>
      </w:tr>
      <w:tr>
        <w:tc>
          <w:tcPr>
            <w:tcW w:type="dxa" w:w="6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4"/>
              <w:left w:type="dxa" w:w="80"/>
              <w:bottom w:type="dxa" w:w="44"/>
              <w:right w:type="dxa" w:w="60"/>
            </w:tcMar>
            <w:vAlign w:val="top"/>
          </w:tcPr>
          <w:p>
            <w:pPr>
              <w:spacing w:after="8" w:before="18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IV. 토지관할 — §25 관련재판적</w:t>
            </w:r>
          </w:p>
          <w:p>
            <w:pPr>
              <w:spacing w:after="5" w:before="5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[객관적 병합 §25①]</w:t>
            </w:r>
          </w:p>
          <w:p>
            <w:pPr>
              <w:pBdr>
                <w:left w:val="single" w:color="1F3864" w:sz="12"/>
              </w:pBdr>
              <w:shd w:fill="FCE4D6" w:val="clear"/>
              <w:spacing w:after="10" w:before="1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1개의 소 + 여러 청구  + 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②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수소법원이 1개 이상 청구에 관할</w:t>
            </w:r>
          </w:p>
          <w:p>
            <w:pPr>
              <w:spacing w:after="6" w:before="0"/>
            </w:pPr>
            <w:r>
              <w:t xml:space="preserve"/>
            </w:r>
          </w:p>
          <w:p>
            <w:pPr>
              <w:spacing w:after="5" w:before="5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[주관적 병합 §25②]</w:t>
            </w:r>
          </w:p>
          <w:p>
            <w:pPr>
              <w:pBdr>
                <w:left w:val="single" w:color="1F3864" w:sz="12"/>
              </w:pBdr>
              <w:shd w:fill="FCE4D6" w:val="clear"/>
              <w:spacing w:after="10" w:before="1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1개의 소 + 여러 사람  + 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②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1인 이상 관할  + 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③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공통권리의무/동일원인</w:t>
            </w:r>
          </w:p>
        </w:tc>
        <w:tc>
          <w:tcPr>
            <w:tcW w:type="dxa" w:w="4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4"/>
              <w:left w:type="dxa" w:w="60"/>
              <w:bottom w:type="dxa" w:w="44"/>
              <w:right w:type="dxa" w:w="60"/>
            </w:tcMar>
            <w:vAlign w:val="top"/>
          </w:tcPr>
          <w:p>
            <w:pPr>
              <w:spacing w:after="3" w:before="14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6"/>
                <w:szCs w:val="16"/>
              </w:rPr>
              <w:t xml:space="preserve">▷ 관할선택권 남용 → §25 적용 배제</w:t>
            </w:r>
          </w:p>
          <w:p>
            <w:pPr>
              <w:pBdr>
                <w:top w:val="single" w:color="CCCCCC" w:sz="2"/>
                <w:left w:val="single" w:color="CC0000" w:sz="12"/>
              </w:pBdr>
              <w:shd w:fill="FFFACD" w:val="clear"/>
              <w:spacing w:after="3" w:before="3"/>
              <w:ind w:left="8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합의관할 법원에 관련당사자 추가 → 법정관할 회피 시도</w:t>
            </w:r>
          </w:p>
          <w:p>
            <w:pPr>
              <w:pBdr>
                <w:bottom w:val="single" w:color="CCCCCC" w:sz="2"/>
                <w:left w:val="single" w:color="CC0000" w:sz="12"/>
              </w:pBdr>
              <w:shd w:fill="FFFACD" w:val="clear"/>
              <w:spacing w:after="3" w:before="3"/>
              <w:ind w:left="8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→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6"/>
                <w:szCs w:val="16"/>
              </w:rPr>
              <w:t xml:space="preserve">관할선택권의 남용</w:t>
            </w: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으로 신의칙 위반 → §25 적용 배제</w:t>
            </w:r>
          </w:p>
        </w:tc>
      </w:tr>
      <w:tr>
        <w:tc>
          <w:tcPr>
            <w:tcW w:type="dxa" w:w="6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4"/>
              <w:left w:type="dxa" w:w="80"/>
              <w:bottom w:type="dxa" w:w="44"/>
              <w:right w:type="dxa" w:w="60"/>
            </w:tcMar>
            <w:vAlign w:val="top"/>
          </w:tcPr>
          <w:p>
            <w:pPr>
              <w:spacing w:after="8" w:before="18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V. 합의관할 §29  —  유모변주</w:t>
            </w:r>
          </w:p>
          <w:p>
            <w:pPr>
              <w:spacing w:after="2" w:before="0"/>
            </w:pPr>
            <w:r>
              <w:t xml:space="preserve"/>
            </w:r>
          </w:p>
          <w:p>
            <w:pPr>
              <w:spacing w:after="5" w:before="5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[유효성 — 약관에 의한 합의 판례 3개: 무전변]</w:t>
            </w:r>
          </w:p>
          <w:p>
            <w:pPr>
              <w:spacing w:after="2" w:before="12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6"/>
                <w:szCs w:val="16"/>
              </w:rPr>
              <w:t xml:space="preserve">판례 ① 무효판단기준</w:t>
            </w:r>
          </w:p>
          <w:p>
            <w:pPr>
              <w:pBdr>
                <w:left w:val="single" w:color="1F3864" w:sz="12"/>
              </w:pBdr>
              <w:shd w:fill="FCE4D6" w:val="clear"/>
              <w:spacing w:after="10" w:before="10"/>
              <w:ind w:left="8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약관규제법 §14 —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6"/>
                <w:szCs w:val="16"/>
              </w:rPr>
              <w:t xml:space="preserve">고객에게 부당하게 불리</w:t>
            </w: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한 관할합의 → 무효</w:t>
            </w:r>
          </w:p>
          <w:p>
            <w:pPr>
              <w:spacing w:after="2" w:before="12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6"/>
                <w:szCs w:val="16"/>
              </w:rPr>
              <w:t xml:space="preserve">판례 ② 전속적 합의 무효기준 — 지남거훼</w:t>
            </w:r>
          </w:p>
          <w:p>
            <w:pPr>
              <w:pBdr>
                <w:left w:val="single" w:color="1F3864" w:sz="12"/>
              </w:pBdr>
              <w:shd w:fill="FCE4D6" w:val="clear"/>
              <w:spacing w:after="10" w:before="1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지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정법원과 같거나 +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남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용(거래상 지위) +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래질서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훼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손 → 무효</w:t>
            </w:r>
          </w:p>
          <w:p>
            <w:pPr>
              <w:spacing w:after="3" w:before="3"/>
              <w:ind w:left="36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- 단순히 '고객에게 다소 불이익'만으로는 부족</w:t>
            </w:r>
          </w:p>
          <w:p>
            <w:pPr>
              <w:spacing w:after="2" w:before="12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6"/>
                <w:szCs w:val="16"/>
              </w:rPr>
              <w:t xml:space="preserve">판례 ③ 합의관할 변경</w:t>
            </w:r>
          </w:p>
          <w:p>
            <w:pPr>
              <w:pBdr>
                <w:left w:val="single" w:color="1F3864" w:sz="12"/>
              </w:pBdr>
              <w:shd w:fill="FCE4D6" w:val="clear"/>
              <w:spacing w:after="10" w:before="10"/>
              <w:ind w:left="8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업무조정에 따른 변경 =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6"/>
                <w:szCs w:val="16"/>
              </w:rPr>
              <w:t xml:space="preserve">일방이 지정하는 법원과 다를 바 없음</w:t>
            </w: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 → 무효</w:t>
            </w:r>
          </w:p>
          <w:p>
            <w:pPr>
              <w:spacing w:after="6" w:before="0"/>
            </w:pPr>
            <w:r>
              <w:t xml:space="preserve"/>
            </w:r>
          </w:p>
          <w:p>
            <w:pPr>
              <w:spacing w:after="5" w:before="5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[유효요건: 임특법서]</w:t>
            </w:r>
          </w:p>
          <w:p>
            <w:pPr>
              <w:pBdr>
                <w:left w:val="single" w:color="1F3864" w:sz="12"/>
              </w:pBdr>
              <w:shd w:fill="FCE4D6" w:val="clear"/>
              <w:spacing w:after="10" w:before="1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의관할(제1심) 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특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 법률관계 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법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원 특정 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면</w:t>
            </w:r>
          </w:p>
          <w:p>
            <w:pPr>
              <w:spacing w:after="6" w:before="0"/>
            </w:pPr>
            <w:r>
              <w:t xml:space="preserve"/>
            </w:r>
          </w:p>
          <w:p>
            <w:pPr>
              <w:spacing w:after="5" w:before="5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[모습]</w:t>
            </w:r>
          </w:p>
          <w:p>
            <w:pPr>
              <w:spacing w:after="5" w:before="5"/>
              <w:ind w:left="1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· 부가적: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법정관할 외 법원 추가</w:t>
            </w:r>
          </w:p>
          <w:p>
            <w:pPr>
              <w:spacing w:after="5" w:before="5"/>
              <w:ind w:left="1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· 전속적: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합의 법원에만 제기, 나머지 법정관할 배제</w:t>
            </w:r>
          </w:p>
          <w:p>
            <w:pPr>
              <w:spacing w:after="5" w:before="5"/>
              <w:ind w:left="1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· 불분명한 경우: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법정관할 중 하나 → 전속적  |  법정관할 외 → 부가적</w:t>
            </w:r>
          </w:p>
          <w:p>
            <w:pPr>
              <w:spacing w:after="6" w:before="0"/>
            </w:pPr>
            <w:r>
              <w:t xml:space="preserve"/>
            </w:r>
          </w:p>
          <w:p>
            <w:pPr>
              <w:spacing w:after="5" w:before="5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[주관적 범위]</w:t>
            </w:r>
          </w:p>
          <w:p>
            <w:pPr>
              <w:spacing w:after="5" w:before="5"/>
              <w:ind w:left="1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· 당사자·포괄승계인: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효력 O</w:t>
            </w:r>
          </w:p>
          <w:p>
            <w:pPr>
              <w:spacing w:after="5" w:before="5"/>
              <w:ind w:left="1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· 채권 특정승계인: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효력 O  ← 채권내용 자유변경 가능, 동일성 유지 취득</w:t>
            </w:r>
          </w:p>
          <w:p>
            <w:pPr>
              <w:spacing w:after="5" w:before="5"/>
              <w:ind w:left="1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· 물권 특정승계인: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효력 X  ← 물권법정주의, 합의를 등기 불가</w:t>
            </w:r>
          </w:p>
        </w:tc>
        <w:tc>
          <w:tcPr>
            <w:tcW w:type="dxa" w:w="4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4"/>
              <w:left w:type="dxa" w:w="60"/>
              <w:bottom w:type="dxa" w:w="44"/>
              <w:right w:type="dxa" w:w="60"/>
            </w:tcMar>
            <w:vAlign w:val="top"/>
          </w:tcPr>
          <w:p>
            <w:pPr>
              <w:spacing w:after="3" w:before="14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6"/>
                <w:szCs w:val="16"/>
              </w:rPr>
              <w:t xml:space="preserve">▷ 채권 특정승계인 — 효력 O</w:t>
            </w:r>
          </w:p>
          <w:p>
            <w:pPr>
              <w:pBdr>
                <w:top w:val="single" w:color="CCCCCC" w:sz="2"/>
                <w:left w:val="single" w:color="CC0000" w:sz="12"/>
              </w:pBdr>
              <w:shd w:fill="FFFACD" w:val="clear"/>
              <w:spacing w:after="3" w:before="3"/>
              <w:ind w:left="8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채권내용 자유변경 가능</w:t>
            </w:r>
          </w:p>
          <w:p>
            <w:pPr>
              <w:pBdr>
                <w:left w:val="single" w:color="CC0000" w:sz="12"/>
              </w:pBdr>
              <w:shd w:fill="FFFACD" w:val="clear"/>
              <w:spacing w:after="3" w:before="3"/>
              <w:ind w:left="8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채권양수인은 변경된 내용의 채권을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6"/>
                <w:szCs w:val="16"/>
              </w:rPr>
              <w:t xml:space="preserve">동일성 유지</w:t>
            </w: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하여 취득</w:t>
            </w:r>
          </w:p>
          <w:p>
            <w:pPr>
              <w:pBdr>
                <w:bottom w:val="single" w:color="CCCCCC" w:sz="2"/>
                <w:left w:val="single" w:color="CC0000" w:sz="12"/>
              </w:pBdr>
              <w:shd w:fill="FFFACD" w:val="clear"/>
              <w:spacing w:after="3" w:before="3"/>
              <w:ind w:left="8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→ 관할합의 효력 미침</w:t>
            </w:r>
          </w:p>
          <w:p>
            <w:pPr>
              <w:spacing w:after="10" w:before="0"/>
            </w:pPr>
            <w:r>
              <w:t xml:space="preserve"/>
            </w:r>
          </w:p>
          <w:p>
            <w:pPr>
              <w:spacing w:after="3" w:before="14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6"/>
                <w:szCs w:val="16"/>
              </w:rPr>
              <w:t xml:space="preserve">▷ 물권 특정승계인 — 효력 X</w:t>
            </w:r>
          </w:p>
          <w:p>
            <w:pPr>
              <w:pBdr>
                <w:top w:val="single" w:color="CCCCCC" w:sz="2"/>
                <w:left w:val="single" w:color="CC0000" w:sz="12"/>
              </w:pBdr>
              <w:shd w:fill="FFFACD" w:val="clear"/>
              <w:spacing w:after="3" w:before="3"/>
              <w:ind w:left="8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근저당권 부담부 부동산 양수인 = 물권 특정승계인</w:t>
            </w:r>
          </w:p>
          <w:p>
            <w:pPr>
              <w:pBdr>
                <w:left w:val="single" w:color="CC0000" w:sz="12"/>
              </w:pBdr>
              <w:shd w:fill="FFFACD" w:val="clear"/>
              <w:spacing w:after="3" w:before="3"/>
              <w:ind w:left="8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물권법정주의(민법 §185) + 합의를 등기 불가</w:t>
            </w:r>
          </w:p>
          <w:p>
            <w:pPr>
              <w:pBdr>
                <w:bottom w:val="single" w:color="CCCCCC" w:sz="2"/>
                <w:left w:val="single" w:color="CC0000" w:sz="12"/>
              </w:pBdr>
              <w:shd w:fill="FFFACD" w:val="clear"/>
              <w:spacing w:after="3" w:before="3"/>
              <w:ind w:left="8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→ 관할합의 효력 미치지 않음</w:t>
            </w:r>
          </w:p>
        </w:tc>
      </w:tr>
      <w:tr>
        <w:tc>
          <w:tcPr>
            <w:tcW w:type="dxa" w:w="6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4"/>
              <w:left w:type="dxa" w:w="80"/>
              <w:bottom w:type="dxa" w:w="44"/>
              <w:right w:type="dxa" w:w="60"/>
            </w:tcMar>
            <w:vAlign w:val="top"/>
          </w:tcPr>
          <w:p>
            <w:pPr>
              <w:spacing w:after="8" w:before="18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VI. 변론관할 §30</w:t>
            </w:r>
          </w:p>
          <w:p>
            <w:pPr>
              <w:spacing w:after="5" w:before="5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[요건 — 임항구]</w:t>
            </w:r>
          </w:p>
          <w:p>
            <w:pPr>
              <w:pBdr>
                <w:left w:val="single" w:color="1F3864" w:sz="12"/>
              </w:pBdr>
              <w:shd w:fill="FCE4D6" w:val="clear"/>
              <w:spacing w:after="10" w:before="1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의관할 없는 제1심법원  + 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항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변 없을 것  + 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8"/>
                <w:szCs w:val="18"/>
              </w:rPr>
              <w:t xml:space="preserve">구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술 본안변론</w:t>
            </w:r>
          </w:p>
          <w:p>
            <w:pPr>
              <w:spacing w:after="5" w:before="5"/>
              <w:ind w:left="1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· 청구기각답변만: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→ 변론관할 X  (본안변론 아님)</w:t>
            </w:r>
          </w:p>
          <w:p>
            <w:pPr>
              <w:spacing w:after="5" w:before="5"/>
              <w:ind w:left="1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· 진술간주(서면+불출석):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→ 변론관할 X  (구술 요건 미충족)</w:t>
            </w:r>
          </w:p>
        </w:tc>
        <w:tc>
          <w:tcPr>
            <w:tcW w:type="dxa" w:w="4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4"/>
              <w:left w:type="dxa" w:w="60"/>
              <w:bottom w:type="dxa" w:w="44"/>
              <w:right w:type="dxa" w:w="60"/>
            </w:tcMar>
            <w:vAlign w:val="top"/>
          </w:tcPr>
          <w:p>
            <w:pPr>
              <w:spacing w:after="3" w:before="14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6"/>
                <w:szCs w:val="16"/>
              </w:rPr>
              <w:t xml:space="preserve">▷ 청구기각 답변만 — 변론관할 X</w:t>
            </w:r>
          </w:p>
          <w:p>
            <w:pPr>
              <w:pBdr>
                <w:top w:val="single" w:color="CCCCCC" w:sz="2"/>
                <w:left w:val="single" w:color="CC0000" w:sz="12"/>
              </w:pBdr>
              <w:shd w:fill="FFFACD" w:val="clear"/>
              <w:spacing w:after="3" w:before="3"/>
              <w:ind w:left="8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'청구기각의 답변'만을 구한 것으로는</w:t>
            </w:r>
          </w:p>
          <w:p>
            <w:pPr>
              <w:pBdr>
                <w:bottom w:val="single" w:color="CCCCCC" w:sz="2"/>
                <w:left w:val="single" w:color="CC0000" w:sz="12"/>
              </w:pBdr>
              <w:shd w:fill="FFFACD" w:val="clear"/>
              <w:spacing w:after="3" w:before="3"/>
              <w:ind w:left="8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→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6"/>
                <w:szCs w:val="16"/>
              </w:rPr>
              <w:t xml:space="preserve">이의 없이 본안변론한 것이라 볼 수 없다</w:t>
            </w:r>
          </w:p>
          <w:p>
            <w:pPr>
              <w:spacing w:after="10" w:before="0"/>
            </w:pPr>
            <w:r>
              <w:t xml:space="preserve"/>
            </w:r>
          </w:p>
          <w:p>
            <w:pPr>
              <w:spacing w:after="3" w:before="14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6"/>
                <w:szCs w:val="16"/>
              </w:rPr>
              <w:t xml:space="preserve">▷ 진술간주 — 변론관할 X</w:t>
            </w:r>
          </w:p>
          <w:p>
            <w:pPr>
              <w:pBdr>
                <w:top w:val="single" w:color="CCCCCC" w:sz="2"/>
                <w:left w:val="single" w:color="CC0000" w:sz="12"/>
              </w:pBdr>
              <w:shd w:fill="FFFACD" w:val="clear"/>
              <w:spacing w:after="3" w:before="3"/>
              <w:ind w:left="8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서면 제출 후 불출석 → 진술간주</w:t>
            </w:r>
          </w:p>
          <w:p>
            <w:pPr>
              <w:pBdr>
                <w:bottom w:val="single" w:color="CCCCCC" w:sz="2"/>
                <w:left w:val="single" w:color="CC0000" w:sz="12"/>
              </w:pBdr>
              <w:shd w:fill="FFFACD" w:val="clear"/>
              <w:spacing w:after="3" w:before="3"/>
              <w:ind w:left="8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→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7B0000"/>
                <w:sz w:val="16"/>
                <w:szCs w:val="16"/>
              </w:rPr>
              <w:t xml:space="preserve">출석하여 구술으로 진술한 것이 아님</w:t>
            </w: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 → 변론관할 X</w:t>
            </w:r>
          </w:p>
        </w:tc>
      </w:tr>
    </w:tbl>
    <w:p>
      <w:pPr>
        <w:spacing w:after="40" w:before="0"/>
      </w:pPr>
      <w:r>
        <w:t xml:space="preserve"/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2026-05-17T15:14:57.507Z</dcterms:created>
  <dcterms:modified xsi:type="dcterms:W3CDTF">2026-05-17T15:14:57.508Z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