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2025년 제1차 변호사시험 모의시험 민사법 사례형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2C3E7F"/>
          <w:sz w:val="48"/>
          <w:szCs w:val="48"/>
        </w:rPr>
        <w:t xml:space="preserve">세직 씨 개인 첨삭 리포트</w:t>
      </w:r>
    </w:p>
    <w:p>
      <w:pPr>
        <w:spacing w:after="40"/>
      </w:pPr>
      <w:r>
        <w:rPr>
          <w:rFonts w:ascii="맑은 고딕" w:cs="맑은 고딕" w:eastAsia="맑은 고딕" w:hAnsi="맑은 고딕"/>
          <w:color w:val="7F8C8D"/>
          <w:sz w:val="18"/>
          <w:szCs w:val="18"/>
        </w:rPr>
        <w:t xml:space="preserve">2026년 05월 25일  |  채점기준표(AKLS) 기준  |  만점 350점</w:t>
      </w:r>
    </w:p>
    <w:p>
      <w:pPr>
        <w:pBdr>
          <w:bottom w:val="single" w:color="DDDDDD" w:sz="4"/>
        </w:pBdr>
        <w:spacing w:after="80" w:before="80"/>
      </w:pPr>
      <w:r>
        <w:t xml:space="preserve"/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8"/>
          <w:szCs w:val="28"/>
        </w:rPr>
        <w:t xml:space="preserve">① 문제별 예상 점수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★ 결론 오류(빨간 셀) — 배점의 대부분 실점.  ▲ 강점 구간(초록 셀) — 상대적 우위.  득점률 50% 이상이 합격권.</w:t>
      </w:r>
    </w:p>
    <w:p>
      <w:pPr>
        <w:spacing w:after="12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600"/>
        <w:gridCol w:w="1200"/>
        <w:gridCol w:w="2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점수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득점률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1문의1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11~13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1문의2-1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0~3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 결론 오류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1문의2-2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10~12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73%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1문의3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7~11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60%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1문의4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13~17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75%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▲ 강점 구간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1문의5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15~18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83%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▲ 강점 구간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1문의6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0~2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 결론 오류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1문의7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0~3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 결론 오류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1문의8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16~21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74%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1문 소계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72~100점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≈57%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(배점 150점)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2문의1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10~14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60%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 결론 오류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2문의2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12~16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2문의3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9~12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2문의4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14~17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78%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2문의5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17~21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76%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▲ 강점 구간</w:t>
            </w:r>
          </w:p>
        </w:tc>
      </w:tr>
      <w:tr>
        <w:tc>
          <w:tcPr>
            <w:tcW w:type="dxa" w:w="24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2문 소계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62~80점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≈71%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(배점 100점)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3문의1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3~7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33%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 결론 오류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3문의2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21~25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77%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3문의3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10~13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77%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▲ 강점 구간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3문의4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16~20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20"/>
                <w:szCs w:val="20"/>
              </w:rPr>
              <w:t xml:space="preserve">72%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▲ 강점 구간</w:t>
            </w:r>
          </w:p>
        </w:tc>
      </w:tr>
      <w:tr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3문의5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0~3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10%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★ 결론 오류</w:t>
            </w:r>
          </w:p>
        </w:tc>
      </w:tr>
      <w:tr>
        <w:tc>
          <w:tcPr>
            <w:tcW w:type="dxa" w:w="24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3문 소계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50~68점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≈59%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20"/>
                <w:szCs w:val="20"/>
              </w:rPr>
              <w:t xml:space="preserve">(배점 100점)</w:t>
            </w:r>
          </w:p>
        </w:tc>
      </w:tr>
      <w:tr>
        <w:tc>
          <w:tcPr>
            <w:tcW w:type="dxa" w:w="240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총계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184~248점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≈62%</w:t>
            </w:r>
          </w:p>
        </w:tc>
        <w:tc>
          <w:tcPr>
            <w:tcW w:type="dxa" w:w="2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CF0F1"/>
                <w:sz w:val="20"/>
                <w:szCs w:val="20"/>
              </w:rPr>
              <w:t xml:space="preserve">만점 350점 기준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8"/>
          <w:szCs w:val="28"/>
        </w:rPr>
        <w:t xml:space="preserve">② 결론 오류 6건 — 최우선 보완 대상 (배점 합계 90점)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이 6문제는 결론 자체가 틀려 배점의 대부분을 잃은 문제입니다. 6개만 잡아도 득점률 70% 이상 진입 가능합니다.</w:t>
      </w:r>
    </w:p>
    <w:p>
      <w:pPr>
        <w:spacing w:after="12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14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쟁점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 답안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정답</w:t>
            </w:r>
          </w:p>
        </w:tc>
        <w:tc>
          <w:tcPr>
            <w:tcW w:type="dxa" w:w="1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오류 원인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1문의2-1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처분권주의·조건부판결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타당(인용)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8"/>
                <w:szCs w:val="18"/>
              </w:rPr>
              <w:t xml:space="preserve">처분권주의 위반 → 부적법 각하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대법원 91다6009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민소법 203조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조건부 판결 = 처분권주의 위반 유형 인식 실패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1문의6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양자간 명의신탁 손해발생 여부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인용(손해 있음)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8"/>
                <w:szCs w:val="18"/>
              </w:rPr>
              <w:t xml:space="preserve">기각(소유권 유지 → 손해 없음)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대법원 2022다266874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부동산실명법 4조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명의신탁자 소유권 보유 법리 미적용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1문의7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명시적 일부청구·6개월 기산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인용(시효 미완성)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8"/>
                <w:szCs w:val="18"/>
              </w:rPr>
              <w:t xml:space="preserve">기각(시효 완성 — 6개월 경과)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대법원 2020다206625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민법 174·170조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잔부 최고효 + 6개월 기산 법리 누락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2문의1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변제충당 후 잔존채무액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8,000만원(원금 공제)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8"/>
                <w:szCs w:val="18"/>
              </w:rPr>
              <w:t xml:space="preserve">1억원(이자 먼저 충당)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민법 479조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비용→이자→원금 충당순서 검토 누락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3문의1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상호폐지청구 인용 여부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승소(인용)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8"/>
                <w:szCs w:val="18"/>
              </w:rPr>
              <w:t xml:space="preserve">패소(부정한 목적 추정 불가)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대법원 2003다12601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상법 23조 4항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추정요건(동일지역+동종영업) 미검토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3문의5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15점</w:t>
            </w:r>
          </w:p>
        </w:tc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미성년자 어음행위·물적항변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지급거절 부당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8"/>
                <w:szCs w:val="18"/>
              </w:rPr>
              <w:t xml:space="preserve">지급거절 정당(물적항변)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어음법 물적항변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8C8D"/>
                <w:sz w:val="17"/>
                <w:szCs w:val="17"/>
              </w:rPr>
              <w:t xml:space="preserve">민법 5조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물적항변 = 모든 소지인에게 대항 법리 누락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8"/>
          <w:szCs w:val="28"/>
        </w:rPr>
        <w:t xml:space="preserve">③ 결론 정확 문제 세부 분석 (보완 포인트)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결론은 맞았지만 법리·판례 인용 밀도를 높여야 할 문제입니다. 초록 셀은 강점 구간(추가 점수 확보 가능).</w:t>
      </w:r>
    </w:p>
    <w:p>
      <w:pPr>
        <w:spacing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1500"/>
        <w:gridCol w:w="1600"/>
        <w:gridCol w:w="1800"/>
        <w:gridCol w:w="21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핵심쟁점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 답안 수준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보완 필요사항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단권화 대상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1문의1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특별대리인·이해상반·보정명령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양호 (논점 파악, 결론 정확)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2023다301941 판시 문구 구체화 필요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민법 921조 객관적 판단기준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1문의2-2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확인의 이익·보충성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양호 (논점 파악, 결론 정확)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확인소송 3요소 체계적 서술 강화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2000다5640 확인의 이익 3요소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1문의3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기판력·변론종결 후 승계인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부분 오류 ('고유방어방법' 논리 사용)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2019다261381: 경매취득자 ≠ 승계인 적용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2019다261381 — 승계인 해당 여부 기준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1문의4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선택적·예비적 병합·항소심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7"/>
                <w:szCs w:val="17"/>
              </w:rPr>
              <w:t xml:space="preserve">양호 (▲강점 구간)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2013다96868 구체적 인용 보강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병합유형별 항소효과 표 정리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1문의5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예비적 선택적 공동소송·화해권고결정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7"/>
                <w:szCs w:val="17"/>
              </w:rPr>
              <w:t xml:space="preserve">양호 (▲강점 구간)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2014다75202 판시 문구 강화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합일확정 공동소송 소송행위 효력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1문의8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도급 해제·기성고율·선급금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대체로 양호 (선급금 충당 논점 불명확)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99다55519 기성고 계산공식 명시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기성고율×약정보수-선급금 공식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2문의2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채권양도·담보목적·대위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부분 오류 (대물변제로 판단)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89다카10385: 담보목적 → 본래채권 존속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채권양도 목적별 효과(담보/대물변제) 구분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2문의3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대체물 이행불능·전보배상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부분 오류 (전보배상 근거 불정확)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2024다238640: 강제집행 불능·곤란 시 예외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대체물 이행불능 불가 원칙 + 예외요건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2문의4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관습법정지상권·협의분할 소급효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양호 (전반적 논점 파악)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소급효↔지상권 성립시점 논리 연결 강화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80다2873 소급효 적용 시 지상권 성립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2문의5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유치권·불가분성·제3취득자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7"/>
                <w:szCs w:val="17"/>
              </w:rPr>
              <w:t xml:space="preserve">양호 (▲강점 구간, 제3취득자 논점 보완 필요)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2019다295278 제3취득자 소멸청구권 명시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유치권 소멸청구권자 범위 확장 암기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3문의2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이사 자기거래·이사회 승인 하자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양호 (전반적 논점 파악)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2021다291712 중요사실 미고지 = 무효 인용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상대적 무효설 근거·주장 기간 제한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3문의3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자기주식취득·341조의2 제4호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7"/>
                <w:szCs w:val="17"/>
              </w:rPr>
              <w:t xml:space="preserve">양호 (▲강점 구간, 상세 분석)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2020다208058 인용 강화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341조의2 각호 요건 수치 포함 암기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3문의4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25점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퇴임이사·신주인수권 양도</w:t>
            </w:r>
          </w:p>
        </w:tc>
        <w:tc>
          <w:tcPr>
            <w:tcW w:type="dxa" w:w="1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7"/>
                <w:szCs w:val="17"/>
              </w:rPr>
              <w:t xml:space="preserve">양호 (▲강점 구간, 분석 완성)</w:t>
            </w:r>
          </w:p>
        </w:tc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94다36421: 채권양도 방법 준용 명시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3E7F"/>
                <w:sz w:val="17"/>
                <w:szCs w:val="17"/>
              </w:rPr>
              <w:t xml:space="preserve">신주인수권 채권적 권리 성질 → 양도방법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8"/>
          <w:szCs w:val="28"/>
        </w:rPr>
        <w:t xml:space="preserve">④ 단권화 우선순위 TOP 10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1~6위는 결론 오류와 직결된 판례·조문입니다. 이번 주 내 완전 암기 목표.</w:t>
      </w:r>
    </w:p>
    <w:p>
      <w:pPr>
        <w:spacing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판례·조문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91다6009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피담보채무 발생 안함 전제 말소청구 = 조건부 판결 = 처분권주의 위반 → 부적법 각하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2위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2022다266874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양자간 명의신탁 → 명의신탁자 소유권 유지 → 손해 없음 → 기각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3위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2020다206625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명시적 일부청구 → 잔부 최고효 → 전소 확정일부터 6개월 내 재소 필요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민법 479조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이자 있는 채무 변제충당: 비용 → 이자 → 원금 순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2003다12601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다른 지역·업종 → 상호 부정한 목적 추정 불가 → 폐지청구 기각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어음법 물적항변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미성년자 어음행위 취소 = 물적항변 → 모든 소지인에게 대항 가능 → 지급거절 정당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2019다261381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경매취득자 ≠ 변론종결 후 승계인 → 기판력 미침 안 함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89다카10385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담보·변제방법 목적 채권양도 → 본래채권 소멸하지 않음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대법원 2024다238640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대체물 이행불능 불가 원칙, 전보배상은 강제집행 불능·곤란 시만 예외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10위</w:t>
            </w:r>
          </w:p>
        </w:tc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처분권주의 위반 3유형</w:t>
            </w:r>
          </w:p>
        </w:tc>
        <w:tc>
          <w:tcPr>
            <w:tcW w:type="dxa" w:w="57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①초과판결 ②조건부판결 ③누락판결 — 반드시 구분해 암기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2C3E7F"/>
          <w:sz w:val="28"/>
          <w:szCs w:val="28"/>
        </w:rPr>
        <w:t xml:space="preserve">⑤ 종합 총평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득점 분석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예상 184~248점(중간값 216점, 61.7% / 만점 350점). 결론 오류 6문제(배점 합계 90점)에서 약 78점 실점. 이를 절반만 회복해도 245점(70%) 진입 가능합니다.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7AE60"/>
          <w:sz w:val="20"/>
          <w:szCs w:val="20"/>
        </w:rPr>
        <w:t xml:space="preserve">강점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민소법 병합(1문의4·5), 유치권(2문의5), 상법 자기주식·퇴임이사(3문의3·4) 구간에서 높은 득점률 유지. 특히 3문의4(25점)는 스터디원 대비 최대 차별화 구간.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약점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처분권주의 조건부판결 유형(1문의2-1), 명의신탁 손해발생(1문의6), 일부청구 6개월 기산(1문의7) — 이 세 논점이 1문 점수를 크게 끌어내림. 민법 479조 변제충당은 이번 시험의 공통 취약점.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C3E7F"/>
          <w:sz w:val="20"/>
          <w:szCs w:val="20"/>
        </w:rPr>
        <w:t xml:space="preserve">다음 목표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단권화 TOP 6 판례 완전 암기 → 결론 오류 0건 → 목표 득점 245점+(70%) 이상.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0"/>
      <w:jc w:val="center"/>
    </w:pPr>
    <w:r>
      <w:rPr>
        <w:rFonts w:ascii="맑은 고딕" w:cs="맑은 고딕" w:eastAsia="맑은 고딕" w:hAnsi="맑은 고딕"/>
        <w:color w:val="7F8C8D"/>
        <w:sz w:val="16"/>
        <w:szCs w:val="16"/>
      </w:rPr>
      <w:t xml:space="preserve">민사 사례형 첨삭  |  </w:t>
    </w:r>
    <w:r>
      <w:rPr>
        <w:rFonts w:ascii="맑은 고딕" w:cs="맑은 고딕" w:eastAsia="맑은 고딕" w:hAnsi="맑은 고딕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0"/>
      <w:jc w:val="right"/>
    </w:pPr>
    <w:r>
      <w:rPr>
        <w:rFonts w:ascii="맑은 고딕" w:cs="맑은 고딕" w:eastAsia="맑은 고딕" w:hAnsi="맑은 고딕"/>
        <w:color w:val="7F8C8D"/>
        <w:sz w:val="16"/>
        <w:szCs w:val="16"/>
      </w:rPr>
      <w:t xml:space="preserve">2025년 제1차 변호사시험 모의시험 민사법 사례형  |  세직 씨 첨삭 리포트  |  2026.05.25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2026-05-25T07:18:50.385Z</dcterms:created>
  <dcterms:modified xsi:type="dcterms:W3CDTF">2026-05-25T07:18:50.385Z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