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pPr>
      <w:r>
        <w:rPr>
          <w:rFonts w:ascii="맑은 고딕" w:cs="맑은 고딕" w:eastAsia="맑은 고딕" w:hAnsi="맑은 고딕"/>
          <w:b/>
          <w:bCs/>
          <w:color w:val="1F3864"/>
          <w:sz w:val="30"/>
          <w:szCs w:val="30"/>
        </w:rPr>
        <w:t xml:space="preserve">2024년도 제3차 변호사시험 모의시험 민사법 기록형 첨삭 리포트</w:t>
      </w:r>
    </w:p>
    <w:p>
      <w:pPr>
        <w:spacing w:after="80" w:line="300"/>
      </w:pPr>
      <w:r>
        <w:rPr>
          <w:rFonts w:ascii="맑은 고딕" w:cs="맑은 고딕" w:eastAsia="맑은 고딕" w:hAnsi="맑은 고딕"/>
          <w:b/>
          <w:bCs/>
          <w:sz w:val="22"/>
          <w:szCs w:val="22"/>
        </w:rPr>
        <w:t xml:space="preserve">소유권이전등기 등 청구의 소 (원고 박정후 / 피고 4인 / 청구 4개)</w:t>
      </w:r>
    </w:p>
    <w:p>
      <w:pPr>
        <w:spacing w:after="80" w:line="300"/>
      </w:pPr>
      <w:r>
        <w:rPr>
          <w:rFonts w:ascii="맑은 고딕" w:cs="맑은 고딕" w:eastAsia="맑은 고딕" w:hAnsi="맑은 고딕"/>
          <w:sz w:val="20"/>
          <w:szCs w:val="20"/>
        </w:rPr>
        <w:t xml:space="preserve">첨삭일: 2026. 10. 29.</w:t>
      </w:r>
    </w:p>
    <w:p>
      <w:pPr>
        <w:spacing w:after="80" w:line="300"/>
      </w:pPr>
      <w:r>
        <w:rPr>
          <w:rFonts w:ascii="맑은 고딕" w:cs="맑은 고딕" w:eastAsia="맑은 고딕" w:hAnsi="맑은 고딕"/>
          <w:sz w:val="20"/>
          <w:szCs w:val="20"/>
        </w:rPr>
        <w:t xml:space="preserve">기준 자료: 「2024년도 제3차 변호사시험 모의시험 민사법 기록형 채점기준표」·모범 소장(배점 명시) / 문제 기록 원본(작성요령·사실관계 대조)</w:t>
      </w:r>
    </w:p>
    <w:p>
      <w:pPr>
        <w:spacing w:after="80" w:line="300"/>
      </w:pPr>
      <w:r>
        <w:rPr>
          <w:rFonts w:ascii="맑은 고딕" w:cs="맑은 고딕" w:eastAsia="맑은 고딕" w:hAnsi="맑은 고딕"/>
          <w:sz w:val="20"/>
          <w:szCs w:val="20"/>
        </w:rPr>
        <w:t xml:space="preserve">적용 원칙: 채점기준표 배점 그대로 적용, 항목 내 부분점수만 추정 · 청구취지 무관용(글자 단위) · 기대가능성 태그 [치명]/[필수]/[변별] · 재범 카운터 · 현행 판례 기준 정답처리</w:t>
      </w:r>
    </w:p>
    <w:p>
      <w:pPr>
        <w:spacing w:after="80" w:line="300"/>
      </w:pPr>
      <w:r>
        <w:rPr>
          <w:rFonts w:ascii="맑은 고딕" w:cs="맑은 고딕" w:eastAsia="맑은 고딕" w:hAnsi="맑은 고딕"/>
          <w:b/>
          <w:bCs/>
          <w:color w:val="1F4E9A"/>
          <w:sz w:val="20"/>
          <w:szCs w:val="20"/>
        </w:rPr>
        <w:t xml:space="preserve">예상득점 : 106 / 175 (채점기준표 배점, 부분점수 추정) · 등급 A (합격권, 표준 기준선 87.5점 대비 +18.5)</w:t>
      </w:r>
    </w:p>
    <w:p>
      <w:pPr>
        <w:spacing w:after="80" w:line="300"/>
      </w:pPr>
      <w:r>
        <w:rPr>
          <w:rFonts w:ascii="맑은 고딕" w:cs="맑은 고딕" w:eastAsia="맑은 고딕" w:hAnsi="맑은 고딕"/>
          <w:color w:val="595959"/>
          <w:sz w:val="19"/>
          <w:szCs w:val="19"/>
        </w:rPr>
        <w:t xml:space="preserve">참고: 6모 민기록 첨삭 96 → 실채 58(×0.60) 전례가 있음. 같은 보정이면 실채 60점대 중반. 자체 채점은 상한값으로 볼 것. 직전 첨삭 26-8모 86 / 26-10모 74(추정).</w:t>
      </w:r>
    </w:p>
    <w:p>
      <w:pPr>
        <w:pStyle w:val="Heading2"/>
        <w:pBdr>
          <w:bottom w:val="single" w:color="1F3864" w:sz="6" w:space="2"/>
        </w:pBdr>
        <w:spacing w:after="120" w:before="240"/>
      </w:pPr>
      <w:r>
        <w:rPr>
          <w:rFonts w:ascii="맑은 고딕" w:cs="맑은 고딕" w:eastAsia="맑은 고딕" w:hAnsi="맑은 고딕"/>
          <w:b/>
          <w:bCs/>
          <w:color w:val="1F3864"/>
          <w:sz w:val="25"/>
          <w:szCs w:val="25"/>
        </w:rPr>
        <w:t xml:space="preserve">【0】 답안 기본 정보 · 운영 진단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1752"/>
        <w:gridCol w:w="1752"/>
        <w:gridCol w:w="3506"/>
      </w:tblGrid>
      <w:tr>
        <w:trPr>
          <w:tblHeader/>
        </w:trPr>
        <w:tc>
          <w:tcPr>
            <w:tcW w:type="dxa" w:w="2628"/>
            <w:shd w:fill="D9E2F3" w:color="auto" w:val="clear"/>
            <w:tcMar>
              <w:top w:type="dxa" w:w="60"/>
              <w:left w:type="dxa" w:w="90"/>
              <w:bottom w:type="dxa" w:w="60"/>
              <w:right w:type="dxa" w:w="90"/>
            </w:tcMar>
          </w:tcPr>
          <w:p>
            <w:pPr>
              <w:spacing w:after="20" w:line="270"/>
            </w:pPr>
            <w:r>
              <w:rPr>
                <w:rFonts w:ascii="맑은 고딕" w:cs="맑은 고딕" w:eastAsia="맑은 고딕" w:hAnsi="맑은 고딕"/>
                <w:b/>
                <w:bCs/>
                <w:sz w:val="18"/>
                <w:szCs w:val="18"/>
              </w:rPr>
              <w:t xml:space="preserve">청구</w:t>
            </w:r>
          </w:p>
        </w:tc>
        <w:tc>
          <w:tcPr>
            <w:tcW w:type="dxa" w:w="1752"/>
            <w:shd w:fill="D9E2F3" w:color="auto" w:val="clear"/>
            <w:tcMar>
              <w:top w:type="dxa" w:w="60"/>
              <w:left w:type="dxa" w:w="90"/>
              <w:bottom w:type="dxa" w:w="60"/>
              <w:right w:type="dxa" w:w="90"/>
            </w:tcMar>
          </w:tcPr>
          <w:p>
            <w:pPr>
              <w:spacing w:after="20" w:line="270"/>
            </w:pPr>
            <w:r>
              <w:rPr>
                <w:rFonts w:ascii="맑은 고딕" w:cs="맑은 고딕" w:eastAsia="맑은 고딕" w:hAnsi="맑은 고딕"/>
                <w:b/>
                <w:bCs/>
                <w:sz w:val="18"/>
                <w:szCs w:val="18"/>
              </w:rPr>
              <w:t xml:space="preserve">배점(취지+원인)</w:t>
            </w:r>
          </w:p>
        </w:tc>
        <w:tc>
          <w:tcPr>
            <w:tcW w:type="dxa" w:w="1752"/>
            <w:shd w:fill="D9E2F3" w:color="auto" w:val="clear"/>
            <w:tcMar>
              <w:top w:type="dxa" w:w="60"/>
              <w:left w:type="dxa" w:w="90"/>
              <w:bottom w:type="dxa" w:w="60"/>
              <w:right w:type="dxa" w:w="90"/>
            </w:tcMar>
          </w:tcPr>
          <w:p>
            <w:pPr>
              <w:spacing w:after="20" w:line="270"/>
            </w:pPr>
            <w:r>
              <w:rPr>
                <w:rFonts w:ascii="맑은 고딕" w:cs="맑은 고딕" w:eastAsia="맑은 고딕" w:hAnsi="맑은 고딕"/>
                <w:b/>
                <w:bCs/>
                <w:sz w:val="18"/>
                <w:szCs w:val="18"/>
              </w:rPr>
              <w:t xml:space="preserve">답안 분량(공백 제외)</w:t>
            </w:r>
          </w:p>
        </w:tc>
        <w:tc>
          <w:tcPr>
            <w:tcW w:type="dxa" w:w="3506"/>
            <w:shd w:fill="D9E2F3" w:color="auto" w:val="clear"/>
            <w:tcMar>
              <w:top w:type="dxa" w:w="60"/>
              <w:left w:type="dxa" w:w="90"/>
              <w:bottom w:type="dxa" w:w="60"/>
              <w:right w:type="dxa" w:w="90"/>
            </w:tcMar>
          </w:tcPr>
          <w:p>
            <w:pPr>
              <w:spacing w:after="20" w:line="270"/>
            </w:pPr>
            <w:r>
              <w:rPr>
                <w:rFonts w:ascii="맑은 고딕" w:cs="맑은 고딕" w:eastAsia="맑은 고딕" w:hAnsi="맑은 고딕"/>
                <w:b/>
                <w:bCs/>
                <w:sz w:val="18"/>
                <w:szCs w:val="18"/>
              </w:rPr>
              <w:t xml:space="preserve">판정</w:t>
            </w:r>
          </w:p>
        </w:tc>
      </w:tr>
      <w:tr>
        <w:trPr>
          <w:tblHeader w:val="off"/>
        </w:trPr>
        <w:tc>
          <w:tcPr>
            <w:tcW w:type="dxa" w:w="2628"/>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① 오우석 — 점유취득시효 소유권이전등기</w:t>
            </w:r>
          </w:p>
        </w:tc>
        <w:tc>
          <w:tcPr>
            <w:tcW w:type="dxa" w:w="1752"/>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12 + 23 = 35 (22%)</w:t>
            </w:r>
          </w:p>
        </w:tc>
        <w:tc>
          <w:tcPr>
            <w:tcW w:type="dxa" w:w="1752"/>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1,218자 (20%)</w:t>
            </w:r>
          </w:p>
        </w:tc>
        <w:tc>
          <w:tcPr>
            <w:tcW w:type="dxa" w:w="3506"/>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시효기간 산수 오류 → 취지·원인 연쇄 실점</w:t>
            </w:r>
          </w:p>
        </w:tc>
      </w:tr>
      <w:tr>
        <w:trPr>
          <w:tblHeader w:val="off"/>
        </w:trPr>
        <w:tc>
          <w:tcPr>
            <w:tcW w:type="dxa" w:w="2628"/>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② 김승환 — 사해행위취소·가액배상</w:t>
            </w:r>
          </w:p>
        </w:tc>
        <w:tc>
          <w:tcPr>
            <w:tcW w:type="dxa" w:w="1752"/>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16 + 28 = 44 (28%)</w:t>
            </w:r>
          </w:p>
        </w:tc>
        <w:tc>
          <w:tcPr>
            <w:tcW w:type="dxa" w:w="1752"/>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1,888자 (31%)</w:t>
            </w:r>
          </w:p>
        </w:tc>
        <w:tc>
          <w:tcPr>
            <w:tcW w:type="dxa" w:w="3506"/>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반론 4개 전부 포착, 가액 기준 오류(1억)</w:t>
            </w:r>
          </w:p>
        </w:tc>
      </w:tr>
      <w:tr>
        <w:trPr>
          <w:tblHeader w:val="off"/>
        </w:trPr>
        <w:tc>
          <w:tcPr>
            <w:tcW w:type="dxa" w:w="2628"/>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③ 추자욱 — 추심금</w:t>
            </w:r>
          </w:p>
        </w:tc>
        <w:tc>
          <w:tcPr>
            <w:tcW w:type="dxa" w:w="1752"/>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11 + 16 = 27 (17%)</w:t>
            </w:r>
          </w:p>
        </w:tc>
        <w:tc>
          <w:tcPr>
            <w:tcW w:type="dxa" w:w="1752"/>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1,148자 (19%)</w:t>
            </w:r>
          </w:p>
        </w:tc>
        <w:tc>
          <w:tcPr>
            <w:tcW w:type="dxa" w:w="3506"/>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청구취지 만점, 논거 일부 이탈</w:t>
            </w:r>
          </w:p>
        </w:tc>
      </w:tr>
      <w:tr>
        <w:trPr>
          <w:tblHeader w:val="off"/>
        </w:trPr>
        <w:tc>
          <w:tcPr>
            <w:tcW w:type="dxa" w:w="2628"/>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④ 강현수 — 채권자대위 임대차보증금</w:t>
            </w:r>
          </w:p>
        </w:tc>
        <w:tc>
          <w:tcPr>
            <w:tcW w:type="dxa" w:w="1752"/>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16 + 35 = 51 (32%)</w:t>
            </w:r>
          </w:p>
        </w:tc>
        <w:tc>
          <w:tcPr>
            <w:tcW w:type="dxa" w:w="1752"/>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1,787자 (30%)</w:t>
            </w:r>
          </w:p>
        </w:tc>
        <w:tc>
          <w:tcPr>
            <w:tcW w:type="dxa" w:w="3506"/>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반론 5개 전부 포착, 논거 약함·이율 전사 실패</w:t>
            </w:r>
          </w:p>
        </w:tc>
      </w:tr>
    </w:tbl>
    <w:p>
      <w:pPr>
        <w:spacing w:after="60" w:line="300"/>
      </w:pPr>
      <w:r>
        <w:rPr>
          <w:rFonts w:ascii="맑은 고딕" w:cs="맑은 고딕" w:eastAsia="맑은 고딕" w:hAnsi="맑은 고딕"/>
          <w:sz w:val="20"/>
          <w:szCs w:val="20"/>
        </w:rPr>
        <w:t xml:space="preserve"/>
      </w:r>
    </w:p>
    <w:p>
      <w:pPr>
        <w:spacing w:after="80" w:line="300"/>
      </w:pPr>
      <w:r>
        <w:rPr>
          <w:rFonts w:ascii="맑은 고딕" w:cs="맑은 고딕" w:eastAsia="맑은 고딕" w:hAnsi="맑은 고딕"/>
          <w:b/>
          <w:bCs/>
          <w:sz w:val="20"/>
          <w:szCs w:val="20"/>
        </w:rPr>
        <w:t xml:space="preserve">운영 진단: </w:t>
      </w:r>
      <w:r>
        <w:rPr>
          <w:rFonts w:ascii="맑은 고딕" w:cs="맑은 고딕" w:eastAsia="맑은 고딕" w:hAnsi="맑은 고딕"/>
          <w:sz w:val="20"/>
          <w:szCs w:val="20"/>
        </w:rPr>
        <w:t xml:space="preserve">붕괴 구간 없음. 분량 비율이 배점 비율과 거의 일치하고, 해설상 반론 15개를 </w:t>
      </w:r>
      <w:r>
        <w:rPr>
          <w:rFonts w:ascii="맑은 고딕" w:cs="맑은 고딕" w:eastAsia="맑은 고딕" w:hAnsi="맑은 고딕"/>
          <w:b/>
          <w:bCs/>
          <w:sz w:val="20"/>
          <w:szCs w:val="20"/>
        </w:rPr>
        <w:t xml:space="preserve">제목 단위로는 전부 포착</w:t>
      </w:r>
      <w:r>
        <w:rPr>
          <w:rFonts w:ascii="맑은 고딕" w:cs="맑은 고딕" w:eastAsia="맑은 고딕" w:hAnsi="맑은 고딕"/>
          <w:sz w:val="20"/>
          <w:szCs w:val="20"/>
        </w:rPr>
        <w:t xml:space="preserve">했습니다(쟁점 인지율 100%). 실점 원인은 시간 배분이 아니라 ① 숫자 검산 부재(시효 10년/20년, 가액 1억/2억) ② 판례 핵심 문언 대신 자기 논리로 서술 ③ 원인→취지 전사(轉寫) 실패 세 가지입니다.</w:t>
      </w:r>
    </w:p>
    <w:p>
      <w:pPr>
        <w:spacing w:after="80" w:line="300"/>
      </w:pPr>
      <w:r>
        <w:rPr>
          <w:rFonts w:ascii="맑은 고딕" w:cs="맑은 고딕" w:eastAsia="맑은 고딕" w:hAnsi="맑은 고딕"/>
          <w:b/>
          <w:bCs/>
          <w:sz w:val="20"/>
          <w:szCs w:val="20"/>
        </w:rPr>
        <w:t xml:space="preserve">처방: </w:t>
      </w:r>
      <w:r>
        <w:rPr>
          <w:rFonts w:ascii="맑은 고딕" w:cs="맑은 고딕" w:eastAsia="맑은 고딕" w:hAnsi="맑은 고딕"/>
          <w:sz w:val="20"/>
          <w:szCs w:val="20"/>
        </w:rPr>
        <w:t xml:space="preserve">숫자는 반드시 식으로 쓴다(“2004. 3. 4. + 20년 = 2024. 3. 4.”, “6억 − 4억 = 2억”) / 반론마다 판례 결론 문장 1개를 그대로 인출 / 청구취지 완성 후 원인 소결론과 1:1 역대조.</w:t>
      </w:r>
    </w:p>
    <w:p>
      <w:pPr>
        <w:pStyle w:val="Heading3"/>
        <w:spacing w:after="120" w:before="240"/>
      </w:pPr>
      <w:r>
        <w:rPr>
          <w:rFonts w:ascii="맑은 고딕" w:cs="맑은 고딕" w:eastAsia="맑은 고딕" w:hAnsi="맑은 고딕"/>
          <w:b/>
          <w:bCs/>
          <w:color w:val="2E3B4E"/>
          <w:sz w:val="22"/>
          <w:szCs w:val="22"/>
        </w:rPr>
        <w:t xml:space="preserve">작성요령 대조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3706"/>
        <w:gridCol w:w="741"/>
        <w:gridCol w:w="4450"/>
      </w:tblGrid>
      <w:tr>
        <w:trPr>
          <w:tblHeader/>
        </w:trPr>
        <w:tc>
          <w:tcPr>
            <w:tcW w:type="dxa" w:w="741"/>
            <w:shd w:fill="D9E2F3" w:color="auto" w:val="clear"/>
            <w:tcMar>
              <w:top w:type="dxa" w:w="60"/>
              <w:left w:type="dxa" w:w="90"/>
              <w:bottom w:type="dxa" w:w="60"/>
              <w:right w:type="dxa" w:w="90"/>
            </w:tcMar>
          </w:tcPr>
          <w:p>
            <w:pPr>
              <w:spacing w:after="20" w:line="270"/>
            </w:pPr>
            <w:r>
              <w:rPr>
                <w:rFonts w:ascii="맑은 고딕" w:cs="맑은 고딕" w:eastAsia="맑은 고딕" w:hAnsi="맑은 고딕"/>
                <w:b/>
                <w:bCs/>
                <w:sz w:val="18"/>
                <w:szCs w:val="18"/>
              </w:rPr>
              <w:t xml:space="preserve">호</w:t>
            </w:r>
          </w:p>
        </w:tc>
        <w:tc>
          <w:tcPr>
            <w:tcW w:type="dxa" w:w="3706"/>
            <w:shd w:fill="D9E2F3" w:color="auto" w:val="clear"/>
            <w:tcMar>
              <w:top w:type="dxa" w:w="60"/>
              <w:left w:type="dxa" w:w="90"/>
              <w:bottom w:type="dxa" w:w="60"/>
              <w:right w:type="dxa" w:w="90"/>
            </w:tcMar>
          </w:tcPr>
          <w:p>
            <w:pPr>
              <w:spacing w:after="20" w:line="270"/>
            </w:pPr>
            <w:r>
              <w:rPr>
                <w:rFonts w:ascii="맑은 고딕" w:cs="맑은 고딕" w:eastAsia="맑은 고딕" w:hAnsi="맑은 고딕"/>
                <w:b/>
                <w:bCs/>
                <w:sz w:val="18"/>
                <w:szCs w:val="18"/>
              </w:rPr>
              <w:t xml:space="preserve">요지</w:t>
            </w:r>
          </w:p>
        </w:tc>
        <w:tc>
          <w:tcPr>
            <w:tcW w:type="dxa" w:w="741"/>
            <w:shd w:fill="D9E2F3" w:color="auto" w:val="clear"/>
            <w:tcMar>
              <w:top w:type="dxa" w:w="60"/>
              <w:left w:type="dxa" w:w="90"/>
              <w:bottom w:type="dxa" w:w="60"/>
              <w:right w:type="dxa" w:w="90"/>
            </w:tcMar>
          </w:tcPr>
          <w:p>
            <w:pPr>
              <w:spacing w:after="20" w:line="270"/>
            </w:pPr>
            <w:r>
              <w:rPr>
                <w:rFonts w:ascii="맑은 고딕" w:cs="맑은 고딕" w:eastAsia="맑은 고딕" w:hAnsi="맑은 고딕"/>
                <w:b/>
                <w:bCs/>
                <w:sz w:val="18"/>
                <w:szCs w:val="18"/>
              </w:rPr>
              <w:t xml:space="preserve">판정</w:t>
            </w:r>
          </w:p>
        </w:tc>
        <w:tc>
          <w:tcPr>
            <w:tcW w:type="dxa" w:w="4450"/>
            <w:shd w:fill="D9E2F3" w:color="auto" w:val="clear"/>
            <w:tcMar>
              <w:top w:type="dxa" w:w="60"/>
              <w:left w:type="dxa" w:w="90"/>
              <w:bottom w:type="dxa" w:w="60"/>
              <w:right w:type="dxa" w:w="90"/>
            </w:tcMar>
          </w:tcPr>
          <w:p>
            <w:pPr>
              <w:spacing w:after="20" w:line="270"/>
            </w:pPr>
            <w:r>
              <w:rPr>
                <w:rFonts w:ascii="맑은 고딕" w:cs="맑은 고딕" w:eastAsia="맑은 고딕" w:hAnsi="맑은 고딕"/>
                <w:b/>
                <w:bCs/>
                <w:sz w:val="18"/>
                <w:szCs w:val="18"/>
              </w:rPr>
              <w:t xml:space="preserve">비고</w:t>
            </w:r>
          </w:p>
        </w:tc>
      </w:tr>
      <w:tr>
        <w:trPr>
          <w:tblHeader w:val="off"/>
        </w:trPr>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1</w:t>
            </w:r>
          </w:p>
        </w:tc>
        <w:tc>
          <w:tcPr>
            <w:tcW w:type="dxa" w:w="3706"/>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작성일 2024. 10. 21.</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w:t>
            </w:r>
          </w:p>
        </w:tc>
        <w:tc>
          <w:tcPr>
            <w:tcW w:type="dxa" w:w="4450"/>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
            </w:r>
          </w:p>
        </w:tc>
      </w:tr>
      <w:tr>
        <w:trPr>
          <w:tblHeader w:val="off"/>
        </w:trPr>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2</w:t>
            </w:r>
          </w:p>
        </w:tc>
        <w:tc>
          <w:tcPr>
            <w:tcW w:type="dxa" w:w="3706"/>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일방 당사자 복수 시 성명 특정</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w:t>
            </w:r>
          </w:p>
        </w:tc>
        <w:tc>
          <w:tcPr>
            <w:tcW w:type="dxa" w:w="4450"/>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청구취지 전 항 ‘피고 ○○○’ 기재</w:t>
            </w:r>
          </w:p>
        </w:tc>
      </w:tr>
      <w:tr>
        <w:trPr>
          <w:tblHeader w:val="off"/>
        </w:trPr>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3</w:t>
            </w:r>
          </w:p>
        </w:tc>
        <w:tc>
          <w:tcPr>
            <w:tcW w:type="dxa" w:w="3706"/>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피고별 기재</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w:t>
            </w:r>
          </w:p>
        </w:tc>
        <w:tc>
          <w:tcPr>
            <w:tcW w:type="dxa" w:w="4450"/>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
            </w:r>
          </w:p>
        </w:tc>
      </w:tr>
      <w:tr>
        <w:trPr>
          <w:tblHeader w:val="off"/>
        </w:trPr>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4</w:t>
            </w:r>
          </w:p>
        </w:tc>
        <w:tc>
          <w:tcPr>
            <w:tcW w:type="dxa" w:w="3706"/>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관할·1건 공동소송·예비적/선택적 병합 금지</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w:t>
            </w:r>
          </w:p>
        </w:tc>
        <w:tc>
          <w:tcPr>
            <w:tcW w:type="dxa" w:w="4450"/>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서울중앙지방법원 정확</w:t>
            </w:r>
          </w:p>
        </w:tc>
      </w:tr>
      <w:tr>
        <w:trPr>
          <w:tblHeader w:val="off"/>
        </w:trPr>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5</w:t>
            </w:r>
          </w:p>
        </w:tc>
        <w:tc>
          <w:tcPr>
            <w:tcW w:type="dxa" w:w="3706"/>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승소 가능한 최대 범위, 기각 부분 없게</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bCs/>
                <w:color w:val="C00000"/>
                <w:sz w:val="18"/>
                <w:szCs w:val="18"/>
              </w:rPr>
              <w:t xml:space="preserve">❌</w:t>
            </w:r>
          </w:p>
        </w:tc>
        <w:tc>
          <w:tcPr>
            <w:tcW w:type="dxa" w:w="4450"/>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2-나 1억 원 청구(정답 2억 원) = 과소청구 / 1항 2024. 1. 1.은 시효 미완성 일자 → 기각 위험</w:t>
            </w:r>
          </w:p>
        </w:tc>
      </w:tr>
      <w:tr>
        <w:trPr>
          <w:tblHeader w:val="off"/>
        </w:trPr>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6</w:t>
            </w:r>
          </w:p>
        </w:tc>
        <w:tc>
          <w:tcPr>
            <w:tcW w:type="dxa" w:w="3706"/>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이유 있는 피고 주장은 반영, 없는 주장은 배척 이유 기재</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w:t>
            </w:r>
          </w:p>
        </w:tc>
        <w:tc>
          <w:tcPr>
            <w:tcW w:type="dxa" w:w="4450"/>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연체차임 1.2억·변제 2,500만 원 공제 반영, 공제합의·전부명령 배척</w:t>
            </w:r>
          </w:p>
        </w:tc>
      </w:tr>
      <w:tr>
        <w:trPr>
          <w:tblHeader w:val="off"/>
        </w:trPr>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8</w:t>
            </w:r>
          </w:p>
        </w:tc>
        <w:tc>
          <w:tcPr>
            <w:tcW w:type="dxa" w:w="3706"/>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증명방법·첨부서류 생략, 별지 목록 미기재</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w:t>
            </w:r>
          </w:p>
        </w:tc>
        <w:tc>
          <w:tcPr>
            <w:tcW w:type="dxa" w:w="4450"/>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
            </w:r>
          </w:p>
        </w:tc>
      </w:tr>
      <w:tr>
        <w:trPr>
          <w:tblHeader w:val="off"/>
        </w:trPr>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9</w:t>
            </w:r>
          </w:p>
        </w:tc>
        <w:tc>
          <w:tcPr>
            <w:tcW w:type="dxa" w:w="3706"/>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지연손해금의 지연손해금 청구 금지</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w:t>
            </w:r>
          </w:p>
        </w:tc>
        <w:tc>
          <w:tcPr>
            <w:tcW w:type="dxa" w:w="4450"/>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
            </w:r>
          </w:p>
        </w:tc>
      </w:tr>
    </w:tbl>
    <w:p>
      <w:pPr>
        <w:spacing w:after="60" w:line="300"/>
      </w:pPr>
      <w:r>
        <w:rPr>
          <w:rFonts w:ascii="맑은 고딕" w:cs="맑은 고딕" w:eastAsia="맑은 고딕" w:hAnsi="맑은 고딕"/>
          <w:sz w:val="20"/>
          <w:szCs w:val="20"/>
        </w:rPr>
        <w:t xml:space="preserve"/>
      </w:r>
    </w:p>
    <w:p>
      <w:pPr>
        <w:pStyle w:val="Heading2"/>
        <w:pBdr>
          <w:bottom w:val="single" w:color="1F3864" w:sz="6" w:space="2"/>
        </w:pBdr>
        <w:spacing w:after="120" w:before="240"/>
      </w:pPr>
      <w:r>
        <w:rPr>
          <w:rFonts w:ascii="맑은 고딕" w:cs="맑은 고딕" w:eastAsia="맑은 고딕" w:hAnsi="맑은 고딕"/>
          <w:b/>
          <w:bCs/>
          <w:color w:val="1F3864"/>
          <w:sz w:val="25"/>
          <w:szCs w:val="25"/>
        </w:rPr>
        <w:t xml:space="preserve">【1】 형식 검토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963"/>
        <w:gridCol w:w="5784"/>
      </w:tblGrid>
      <w:tr>
        <w:trPr>
          <w:tblHeader/>
        </w:trPr>
        <w:tc>
          <w:tcPr>
            <w:tcW w:type="dxa" w:w="2891"/>
            <w:shd w:fill="D9E2F3" w:color="auto" w:val="clear"/>
            <w:tcMar>
              <w:top w:type="dxa" w:w="60"/>
              <w:left w:type="dxa" w:w="90"/>
              <w:bottom w:type="dxa" w:w="60"/>
              <w:right w:type="dxa" w:w="90"/>
            </w:tcMar>
          </w:tcPr>
          <w:p>
            <w:pPr>
              <w:spacing w:after="20" w:line="270"/>
            </w:pPr>
            <w:r>
              <w:rPr>
                <w:rFonts w:ascii="맑은 고딕" w:cs="맑은 고딕" w:eastAsia="맑은 고딕" w:hAnsi="맑은 고딕"/>
                <w:b/>
                <w:bCs/>
                <w:sz w:val="18"/>
                <w:szCs w:val="18"/>
              </w:rPr>
              <w:t xml:space="preserve">항목</w:t>
            </w:r>
          </w:p>
        </w:tc>
        <w:tc>
          <w:tcPr>
            <w:tcW w:type="dxa" w:w="963"/>
            <w:shd w:fill="D9E2F3" w:color="auto" w:val="clear"/>
            <w:tcMar>
              <w:top w:type="dxa" w:w="60"/>
              <w:left w:type="dxa" w:w="90"/>
              <w:bottom w:type="dxa" w:w="60"/>
              <w:right w:type="dxa" w:w="90"/>
            </w:tcMar>
          </w:tcPr>
          <w:p>
            <w:pPr>
              <w:spacing w:after="20" w:line="270"/>
            </w:pPr>
            <w:r>
              <w:rPr>
                <w:rFonts w:ascii="맑은 고딕" w:cs="맑은 고딕" w:eastAsia="맑은 고딕" w:hAnsi="맑은 고딕"/>
                <w:b/>
                <w:bCs/>
                <w:sz w:val="18"/>
                <w:szCs w:val="18"/>
              </w:rPr>
              <w:t xml:space="preserve">판정</w:t>
            </w:r>
          </w:p>
        </w:tc>
        <w:tc>
          <w:tcPr>
            <w:tcW w:type="dxa" w:w="5784"/>
            <w:shd w:fill="D9E2F3" w:color="auto" w:val="clear"/>
            <w:tcMar>
              <w:top w:type="dxa" w:w="60"/>
              <w:left w:type="dxa" w:w="90"/>
              <w:bottom w:type="dxa" w:w="60"/>
              <w:right w:type="dxa" w:w="90"/>
            </w:tcMar>
          </w:tcPr>
          <w:p>
            <w:pPr>
              <w:spacing w:after="20" w:line="270"/>
            </w:pPr>
            <w:r>
              <w:rPr>
                <w:rFonts w:ascii="맑은 고딕" w:cs="맑은 고딕" w:eastAsia="맑은 고딕" w:hAnsi="맑은 고딕"/>
                <w:b/>
                <w:bCs/>
                <w:sz w:val="18"/>
                <w:szCs w:val="18"/>
              </w:rPr>
              <w:t xml:space="preserve">비고</w:t>
            </w:r>
          </w:p>
        </w:tc>
      </w:tr>
      <w:tr>
        <w:trPr>
          <w:tblHeader w:val="off"/>
        </w:trPr>
        <w:tc>
          <w:tcPr>
            <w:tcW w:type="dxa" w:w="289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원고 표시 (배점 1)</w:t>
            </w:r>
          </w:p>
        </w:tc>
        <w:tc>
          <w:tcPr>
            <w:tcW w:type="dxa" w:w="963"/>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 1</w:t>
            </w:r>
          </w:p>
        </w:tc>
        <w:tc>
          <w:tcPr>
            <w:tcW w:type="dxa" w:w="5784"/>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
            </w:r>
          </w:p>
        </w:tc>
      </w:tr>
      <w:tr>
        <w:trPr>
          <w:tblHeader w:val="off"/>
        </w:trPr>
        <w:tc>
          <w:tcPr>
            <w:tcW w:type="dxa" w:w="289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소송대리인 표시 (배점 1)</w:t>
            </w:r>
          </w:p>
        </w:tc>
        <w:tc>
          <w:tcPr>
            <w:tcW w:type="dxa" w:w="963"/>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 1</w:t>
            </w:r>
          </w:p>
        </w:tc>
        <w:tc>
          <w:tcPr>
            <w:tcW w:type="dxa" w:w="5784"/>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‘e-mai’ 오타(감점 미미)</w:t>
            </w:r>
          </w:p>
        </w:tc>
      </w:tr>
      <w:tr>
        <w:trPr>
          <w:tblHeader w:val="off"/>
        </w:trPr>
        <w:tc>
          <w:tcPr>
            <w:tcW w:type="dxa" w:w="289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피고들 이름·주소 (배점 4)</w:t>
            </w:r>
          </w:p>
        </w:tc>
        <w:tc>
          <w:tcPr>
            <w:tcW w:type="dxa" w:w="963"/>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 4</w:t>
            </w:r>
          </w:p>
        </w:tc>
        <w:tc>
          <w:tcPr>
            <w:tcW w:type="dxa" w:w="5784"/>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오우석 ‘A동’은 등기부·내용증명 기재와 일치</w:t>
            </w:r>
          </w:p>
        </w:tc>
      </w:tr>
      <w:tr>
        <w:trPr>
          <w:tblHeader w:val="off"/>
        </w:trPr>
        <w:tc>
          <w:tcPr>
            <w:tcW w:type="dxa" w:w="289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사건명 (배점 1)</w:t>
            </w:r>
          </w:p>
        </w:tc>
        <w:tc>
          <w:tcPr>
            <w:tcW w:type="dxa" w:w="963"/>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 1</w:t>
            </w:r>
          </w:p>
        </w:tc>
        <w:tc>
          <w:tcPr>
            <w:tcW w:type="dxa" w:w="5784"/>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소유권이전등기 등 청구의 소</w:t>
            </w:r>
          </w:p>
        </w:tc>
      </w:tr>
      <w:tr>
        <w:trPr>
          <w:tblHeader w:val="off"/>
        </w:trPr>
        <w:tc>
          <w:tcPr>
            <w:tcW w:type="dxa" w:w="289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청구취지 항 번호</w:t>
            </w:r>
          </w:p>
        </w:tc>
        <w:tc>
          <w:tcPr>
            <w:tcW w:type="dxa" w:w="963"/>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w:t>
            </w:r>
          </w:p>
        </w:tc>
        <w:tc>
          <w:tcPr>
            <w:tcW w:type="dxa" w:w="5784"/>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1항 ‘1.’ 누락</w:t>
            </w:r>
          </w:p>
        </w:tc>
      </w:tr>
      <w:tr>
        <w:trPr>
          <w:tblHeader w:val="off"/>
        </w:trPr>
        <w:tc>
          <w:tcPr>
            <w:tcW w:type="dxa" w:w="289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소송비용</w:t>
            </w:r>
          </w:p>
        </w:tc>
        <w:tc>
          <w:tcPr>
            <w:tcW w:type="dxa" w:w="963"/>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w:t>
            </w:r>
          </w:p>
        </w:tc>
        <w:tc>
          <w:tcPr>
            <w:tcW w:type="dxa" w:w="5784"/>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마침표 누락</w:t>
            </w:r>
          </w:p>
        </w:tc>
      </w:tr>
      <w:tr>
        <w:trPr>
          <w:tblHeader w:val="off"/>
        </w:trPr>
        <w:tc>
          <w:tcPr>
            <w:tcW w:type="dxa" w:w="289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가집행</w:t>
            </w:r>
          </w:p>
        </w:tc>
        <w:tc>
          <w:tcPr>
            <w:tcW w:type="dxa" w:w="963"/>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w:t>
            </w:r>
          </w:p>
        </w:tc>
        <w:tc>
          <w:tcPr>
            <w:tcW w:type="dxa" w:w="5784"/>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선별(3·4항만) 정확 — 4연속 정확 / ‘각’ 누락</w:t>
            </w:r>
          </w:p>
        </w:tc>
      </w:tr>
      <w:tr>
        <w:trPr>
          <w:tblHeader w:val="off"/>
        </w:trPr>
        <w:tc>
          <w:tcPr>
            <w:tcW w:type="dxa" w:w="289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청구원인 체계 (배점 5)</w:t>
            </w:r>
          </w:p>
        </w:tc>
        <w:tc>
          <w:tcPr>
            <w:tcW w:type="dxa" w:w="963"/>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 3</w:t>
            </w:r>
          </w:p>
        </w:tc>
        <w:tc>
          <w:tcPr>
            <w:tcW w:type="dxa" w:w="5784"/>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청구① 번호 ‘1.’ 누락, 4개 청구 모두 ‘다. 소결론’ 부재(②③④는 ‘가.’ 안에 결론 혼재), 전체 ‘결론’ 누락(1점)</w:t>
            </w:r>
          </w:p>
        </w:tc>
      </w:tr>
      <w:tr>
        <w:trPr>
          <w:tblHeader w:val="off"/>
        </w:trPr>
        <w:tc>
          <w:tcPr>
            <w:tcW w:type="dxa" w:w="289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관할·작성일·대리인 (배점 3)</w:t>
            </w:r>
          </w:p>
        </w:tc>
        <w:tc>
          <w:tcPr>
            <w:tcW w:type="dxa" w:w="963"/>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 3</w:t>
            </w:r>
          </w:p>
        </w:tc>
        <w:tc>
          <w:tcPr>
            <w:tcW w:type="dxa" w:w="5784"/>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
            </w:r>
          </w:p>
        </w:tc>
      </w:tr>
    </w:tbl>
    <w:p>
      <w:pPr>
        <w:spacing w:after="60" w:line="300"/>
      </w:pPr>
      <w:r>
        <w:rPr>
          <w:rFonts w:ascii="맑은 고딕" w:cs="맑은 고딕" w:eastAsia="맑은 고딕" w:hAnsi="맑은 고딕"/>
          <w:sz w:val="20"/>
          <w:szCs w:val="20"/>
        </w:rPr>
        <w:t xml:space="preserve"/>
      </w:r>
    </w:p>
    <w:p>
      <w:pPr>
        <w:pStyle w:val="Heading2"/>
        <w:pBdr>
          <w:bottom w:val="single" w:color="1F3864" w:sz="6" w:space="2"/>
        </w:pBdr>
        <w:spacing w:after="120" w:before="240"/>
      </w:pPr>
      <w:r>
        <w:rPr>
          <w:rFonts w:ascii="맑은 고딕" w:cs="맑은 고딕" w:eastAsia="맑은 고딕" w:hAnsi="맑은 고딕"/>
          <w:b/>
          <w:bCs/>
          <w:color w:val="1F3864"/>
          <w:sz w:val="25"/>
          <w:szCs w:val="25"/>
        </w:rPr>
        <w:t xml:space="preserve">【2】 청구취지 정밀 분석 (배점 57 → 추정 32.5)</w:t>
      </w:r>
    </w:p>
    <w:p>
      <w:pPr>
        <w:pStyle w:val="Heading3"/>
        <w:spacing w:after="120" w:before="240"/>
      </w:pPr>
      <w:r>
        <w:rPr>
          <w:rFonts w:ascii="맑은 고딕" w:cs="맑은 고딕" w:eastAsia="맑은 고딕" w:hAnsi="맑은 고딕"/>
          <w:b/>
          <w:bCs/>
          <w:color w:val="2E3B4E"/>
          <w:sz w:val="22"/>
          <w:szCs w:val="22"/>
        </w:rPr>
        <w:t xml:space="preserve">▶ 제1항 오우석 (배점 12 → 추정 5) [필수]</w:t>
      </w:r>
    </w:p>
    <w:p>
      <w:pPr>
        <w:spacing w:after="80" w:line="300"/>
        <w:ind w:left="200"/>
      </w:pPr>
      <w:r>
        <w:rPr>
          <w:rFonts w:ascii="맑은 고딕" w:cs="맑은 고딕" w:eastAsia="맑은 고딕" w:hAnsi="맑은 고딕"/>
          <w:b/>
          <w:bCs/>
          <w:color w:val="C00000"/>
          <w:sz w:val="20"/>
          <w:szCs w:val="20"/>
        </w:rPr>
        <w:t xml:space="preserve">✗ </w:t>
      </w:r>
      <w:r>
        <w:rPr>
          <w:rFonts w:ascii="맑은 고딕" w:cs="맑은 고딕" w:eastAsia="맑은 고딕" w:hAnsi="맑은 고딕"/>
          <w:sz w:val="20"/>
          <w:szCs w:val="20"/>
        </w:rPr>
        <w:t xml:space="preserve">세직: “피고 오우석은 원고에게 별지목록 제1항 기재 토지에 관하여 2024. 1. 1. 취득시효 완성을 원인으로 한 소유권이전등기 절차를 이행하라.”</w:t>
      </w:r>
    </w:p>
    <w:p>
      <w:pPr>
        <w:spacing w:after="80" w:line="300"/>
        <w:ind w:left="200"/>
      </w:pPr>
      <w:r>
        <w:rPr>
          <w:rFonts w:ascii="맑은 고딕" w:cs="맑은 고딕" w:eastAsia="맑은 고딕" w:hAnsi="맑은 고딕"/>
          <w:b/>
          <w:bCs/>
          <w:color w:val="1F4E9A"/>
          <w:sz w:val="20"/>
          <w:szCs w:val="20"/>
        </w:rPr>
        <w:t xml:space="preserve">✓ </w:t>
      </w:r>
      <w:r>
        <w:rPr>
          <w:rFonts w:ascii="맑은 고딕" w:cs="맑은 고딕" w:eastAsia="맑은 고딕" w:hAnsi="맑은 고딕"/>
          <w:sz w:val="20"/>
          <w:szCs w:val="20"/>
        </w:rPr>
        <w:t xml:space="preserve">정답: “1. 피고 오우석은 원고에게 별지 목록 제1항 기재 부동산에 관하여 2024. 3. 4. 취득시효 완성을 원인으로 한 소유권이전등기절차를 이행하라.”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
        <w:gridCol w:w="1927"/>
        <w:gridCol w:w="2570"/>
        <w:gridCol w:w="4499"/>
      </w:tblGrid>
      <w:tr>
        <w:trPr>
          <w:tblHeader/>
        </w:trPr>
        <w:tc>
          <w:tcPr>
            <w:tcW w:type="dxa" w:w="642"/>
            <w:shd w:fill="D9E2F3" w:color="auto" w:val="clear"/>
            <w:tcMar>
              <w:top w:type="dxa" w:w="60"/>
              <w:left w:type="dxa" w:w="90"/>
              <w:bottom w:type="dxa" w:w="60"/>
              <w:right w:type="dxa" w:w="90"/>
            </w:tcMar>
          </w:tcPr>
          <w:p>
            <w:pPr>
              <w:spacing w:after="20" w:line="270"/>
            </w:pPr>
            <w:r>
              <w:rPr>
                <w:rFonts w:ascii="맑은 고딕" w:cs="맑은 고딕" w:eastAsia="맑은 고딕" w:hAnsi="맑은 고딕"/>
                <w:b/>
                <w:bCs/>
                <w:sz w:val="18"/>
                <w:szCs w:val="18"/>
              </w:rPr>
              <w:t xml:space="preserve">#</w:t>
            </w:r>
          </w:p>
        </w:tc>
        <w:tc>
          <w:tcPr>
            <w:tcW w:type="dxa" w:w="1927"/>
            <w:shd w:fill="D9E2F3" w:color="auto" w:val="clear"/>
            <w:tcMar>
              <w:top w:type="dxa" w:w="60"/>
              <w:left w:type="dxa" w:w="90"/>
              <w:bottom w:type="dxa" w:w="60"/>
              <w:right w:type="dxa" w:w="90"/>
            </w:tcMar>
          </w:tcPr>
          <w:p>
            <w:pPr>
              <w:spacing w:after="20" w:line="270"/>
            </w:pPr>
            <w:r>
              <w:rPr>
                <w:rFonts w:ascii="맑은 고딕" w:cs="맑은 고딕" w:eastAsia="맑은 고딕" w:hAnsi="맑은 고딕"/>
                <w:b/>
                <w:bCs/>
                <w:sz w:val="18"/>
                <w:szCs w:val="18"/>
              </w:rPr>
              <w:t xml:space="preserve">세직</w:t>
            </w:r>
          </w:p>
        </w:tc>
        <w:tc>
          <w:tcPr>
            <w:tcW w:type="dxa" w:w="2570"/>
            <w:shd w:fill="D9E2F3" w:color="auto" w:val="clear"/>
            <w:tcMar>
              <w:top w:type="dxa" w:w="60"/>
              <w:left w:type="dxa" w:w="90"/>
              <w:bottom w:type="dxa" w:w="60"/>
              <w:right w:type="dxa" w:w="90"/>
            </w:tcMar>
          </w:tcPr>
          <w:p>
            <w:pPr>
              <w:spacing w:after="20" w:line="270"/>
            </w:pPr>
            <w:r>
              <w:rPr>
                <w:rFonts w:ascii="맑은 고딕" w:cs="맑은 고딕" w:eastAsia="맑은 고딕" w:hAnsi="맑은 고딕"/>
                <w:b/>
                <w:bCs/>
                <w:sz w:val="18"/>
                <w:szCs w:val="18"/>
              </w:rPr>
              <w:t xml:space="preserve">정답</w:t>
            </w:r>
          </w:p>
        </w:tc>
        <w:tc>
          <w:tcPr>
            <w:tcW w:type="dxa" w:w="4499"/>
            <w:shd w:fill="D9E2F3" w:color="auto" w:val="clear"/>
            <w:tcMar>
              <w:top w:type="dxa" w:w="60"/>
              <w:left w:type="dxa" w:w="90"/>
              <w:bottom w:type="dxa" w:w="60"/>
              <w:right w:type="dxa" w:w="90"/>
            </w:tcMar>
          </w:tcPr>
          <w:p>
            <w:pPr>
              <w:spacing w:after="20" w:line="270"/>
            </w:pPr>
            <w:r>
              <w:rPr>
                <w:rFonts w:ascii="맑은 고딕" w:cs="맑은 고딕" w:eastAsia="맑은 고딕" w:hAnsi="맑은 고딕"/>
                <w:b/>
                <w:bCs/>
                <w:sz w:val="18"/>
                <w:szCs w:val="18"/>
              </w:rPr>
              <w:t xml:space="preserve">설명</w:t>
            </w:r>
          </w:p>
        </w:tc>
      </w:tr>
      <w:tr>
        <w:trPr>
          <w:tblHeader w:val="off"/>
        </w:trPr>
        <w:tc>
          <w:tcPr>
            <w:tcW w:type="dxa" w:w="642"/>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①</w:t>
            </w:r>
          </w:p>
        </w:tc>
        <w:tc>
          <w:tcPr>
            <w:tcW w:type="dxa" w:w="1927"/>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(번호 없음)</w:t>
            </w:r>
          </w:p>
        </w:tc>
        <w:tc>
          <w:tcPr>
            <w:tcW w:type="dxa" w:w="2570"/>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1.</w:t>
            </w:r>
          </w:p>
        </w:tc>
        <w:tc>
          <w:tcPr>
            <w:tcW w:type="dxa" w:w="4499"/>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항 번호 누락</w:t>
            </w:r>
          </w:p>
        </w:tc>
      </w:tr>
      <w:tr>
        <w:trPr>
          <w:tblHeader w:val="off"/>
        </w:trPr>
        <w:tc>
          <w:tcPr>
            <w:tcW w:type="dxa" w:w="642"/>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②</w:t>
            </w:r>
          </w:p>
        </w:tc>
        <w:tc>
          <w:tcPr>
            <w:tcW w:type="dxa" w:w="1927"/>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별지목록</w:t>
            </w:r>
          </w:p>
        </w:tc>
        <w:tc>
          <w:tcPr>
            <w:tcW w:type="dxa" w:w="2570"/>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별지 목록</w:t>
            </w:r>
          </w:p>
        </w:tc>
        <w:tc>
          <w:tcPr>
            <w:tcW w:type="dxa" w:w="4499"/>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띄어쓰기</w:t>
            </w:r>
          </w:p>
        </w:tc>
      </w:tr>
      <w:tr>
        <w:trPr>
          <w:tblHeader w:val="off"/>
        </w:trPr>
        <w:tc>
          <w:tcPr>
            <w:tcW w:type="dxa" w:w="642"/>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③</w:t>
            </w:r>
          </w:p>
        </w:tc>
        <w:tc>
          <w:tcPr>
            <w:tcW w:type="dxa" w:w="1927"/>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토지</w:t>
            </w:r>
          </w:p>
        </w:tc>
        <w:tc>
          <w:tcPr>
            <w:tcW w:type="dxa" w:w="2570"/>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부동산</w:t>
            </w:r>
          </w:p>
        </w:tc>
        <w:tc>
          <w:tcPr>
            <w:tcW w:type="dxa" w:w="4499"/>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별지 표제(부동산의 표시) 그대로</w:t>
            </w:r>
          </w:p>
        </w:tc>
      </w:tr>
      <w:tr>
        <w:trPr>
          <w:tblHeader w:val="off"/>
        </w:trPr>
        <w:tc>
          <w:tcPr>
            <w:tcW w:type="dxa" w:w="642"/>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④</w:t>
            </w:r>
          </w:p>
        </w:tc>
        <w:tc>
          <w:tcPr>
            <w:tcW w:type="dxa" w:w="1927"/>
            <w:tcMar>
              <w:top w:type="dxa" w:w="60"/>
              <w:left w:type="dxa" w:w="90"/>
              <w:bottom w:type="dxa" w:w="60"/>
              <w:right w:type="dxa" w:w="90"/>
            </w:tcMar>
          </w:tcPr>
          <w:p>
            <w:pPr>
              <w:spacing w:after="20" w:line="270"/>
            </w:pPr>
            <w:r>
              <w:rPr>
                <w:rFonts w:ascii="맑은 고딕" w:cs="맑은 고딕" w:eastAsia="맑은 고딕" w:hAnsi="맑은 고딕"/>
                <w:b/>
                <w:bCs/>
                <w:color w:val="C00000"/>
                <w:sz w:val="18"/>
                <w:szCs w:val="18"/>
              </w:rPr>
              <w:t xml:space="preserve">2024. 1. 1.</w:t>
            </w:r>
          </w:p>
        </w:tc>
        <w:tc>
          <w:tcPr>
            <w:tcW w:type="dxa" w:w="2570"/>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2024. 3. 4. (~ 소 제기일까지 날짜는 정답)</w:t>
            </w:r>
          </w:p>
        </w:tc>
        <w:tc>
          <w:tcPr>
            <w:tcW w:type="dxa" w:w="4499"/>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 박종범 단독 점유(2014. 1. 1.~)는 10년뿐 → 시효 미완성. 박만수 점유개시 2004. 3. 4.를 기산점으로 선택 → 2024. 3. 4. 완성(채점기준 97다8496)</w:t>
            </w:r>
          </w:p>
        </w:tc>
      </w:tr>
      <w:tr>
        <w:trPr>
          <w:tblHeader w:val="off"/>
        </w:trPr>
        <w:tc>
          <w:tcPr>
            <w:tcW w:type="dxa" w:w="642"/>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⑤</w:t>
            </w:r>
          </w:p>
        </w:tc>
        <w:tc>
          <w:tcPr>
            <w:tcW w:type="dxa" w:w="1927"/>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등기 절차</w:t>
            </w:r>
          </w:p>
        </w:tc>
        <w:tc>
          <w:tcPr>
            <w:tcW w:type="dxa" w:w="2570"/>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등기절차</w:t>
            </w:r>
          </w:p>
        </w:tc>
        <w:tc>
          <w:tcPr>
            <w:tcW w:type="dxa" w:w="4499"/>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붙여 씀</w:t>
            </w:r>
          </w:p>
        </w:tc>
      </w:tr>
    </w:tbl>
    <w:p>
      <w:pPr>
        <w:spacing w:after="60" w:line="300"/>
      </w:pPr>
      <w:r>
        <w:rPr>
          <w:rFonts w:ascii="맑은 고딕" w:cs="맑은 고딕" w:eastAsia="맑은 고딕" w:hAnsi="맑은 고딕"/>
          <w:sz w:val="20"/>
          <w:szCs w:val="20"/>
        </w:rPr>
        <w:t xml:space="preserve"/>
      </w:r>
    </w:p>
    <w:p>
      <w:pPr>
        <w:pStyle w:val="Heading3"/>
        <w:spacing w:after="120" w:before="240"/>
      </w:pPr>
      <w:r>
        <w:rPr>
          <w:rFonts w:ascii="맑은 고딕" w:cs="맑은 고딕" w:eastAsia="맑은 고딕" w:hAnsi="맑은 고딕"/>
          <w:b/>
          <w:bCs/>
          <w:color w:val="2E3B4E"/>
          <w:sz w:val="22"/>
          <w:szCs w:val="22"/>
        </w:rPr>
        <w:t xml:space="preserve">▶ 제2항 김승환 (배점 16 → 추정 4) [치명]</w:t>
      </w:r>
    </w:p>
    <w:p>
      <w:pPr>
        <w:spacing w:after="80" w:line="300"/>
        <w:ind w:left="200"/>
      </w:pPr>
      <w:r>
        <w:rPr>
          <w:rFonts w:ascii="맑은 고딕" w:cs="맑은 고딕" w:eastAsia="맑은 고딕" w:hAnsi="맑은 고딕"/>
          <w:b/>
          <w:bCs/>
          <w:color w:val="C00000"/>
          <w:sz w:val="20"/>
          <w:szCs w:val="20"/>
        </w:rPr>
        <w:t xml:space="preserve">✗ </w:t>
      </w:r>
      <w:r>
        <w:rPr>
          <w:rFonts w:ascii="맑은 고딕" w:cs="맑은 고딕" w:eastAsia="맑은 고딕" w:hAnsi="맑은 고딕"/>
          <w:sz w:val="20"/>
          <w:szCs w:val="20"/>
        </w:rPr>
        <w:t xml:space="preserve">세직: “가. 원고와 피고 김승환 사이에서. 소외 박지수와 피고 김승환의 별지목록 제2항 기재 건물에 대한 2022. 10. 5.자 매매계약을 취소한다. 나. 피고 김승환은 원고에게 100,000,000원 및 이 판결 확정일 다음날부터 다 갚는 날까지 연 5%의 비율로 계산한 돈을 지급하라.”</w:t>
      </w:r>
    </w:p>
    <w:p>
      <w:pPr>
        <w:spacing w:after="80" w:line="300"/>
        <w:ind w:left="200"/>
      </w:pPr>
      <w:r>
        <w:rPr>
          <w:rFonts w:ascii="맑은 고딕" w:cs="맑은 고딕" w:eastAsia="맑은 고딕" w:hAnsi="맑은 고딕"/>
          <w:b/>
          <w:bCs/>
          <w:color w:val="1F4E9A"/>
          <w:sz w:val="20"/>
          <w:szCs w:val="20"/>
        </w:rPr>
        <w:t xml:space="preserve">✓ </w:t>
      </w:r>
      <w:r>
        <w:rPr>
          <w:rFonts w:ascii="맑은 고딕" w:cs="맑은 고딕" w:eastAsia="맑은 고딕" w:hAnsi="맑은 고딕"/>
          <w:sz w:val="20"/>
          <w:szCs w:val="20"/>
        </w:rPr>
        <w:t xml:space="preserve">정답: “2. 가. 김지수와 피고 김승환 사이에 별지 목록 제2항 기재 부동산에 관하여 2022. 10. 5. 체결된 매매계약을 200,000,000원의 한도 내에서 취소한다. 나. 피고 김승환은 원고에게 200,000,000원 및 이에 대하여 이 판결확정일 다음 날부터 다 갚는 날까지 연 5%의 비율로 계산한 돈을 지급하라.”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2409"/>
        <w:gridCol w:w="2409"/>
        <w:gridCol w:w="4218"/>
      </w:tblGrid>
      <w:tr>
        <w:trPr>
          <w:tblHeader/>
        </w:trPr>
        <w:tc>
          <w:tcPr>
            <w:tcW w:type="dxa" w:w="602"/>
            <w:shd w:fill="D9E2F3" w:color="auto" w:val="clear"/>
            <w:tcMar>
              <w:top w:type="dxa" w:w="60"/>
              <w:left w:type="dxa" w:w="90"/>
              <w:bottom w:type="dxa" w:w="60"/>
              <w:right w:type="dxa" w:w="90"/>
            </w:tcMar>
          </w:tcPr>
          <w:p>
            <w:pPr>
              <w:spacing w:after="20" w:line="270"/>
            </w:pPr>
            <w:r>
              <w:rPr>
                <w:rFonts w:ascii="맑은 고딕" w:cs="맑은 고딕" w:eastAsia="맑은 고딕" w:hAnsi="맑은 고딕"/>
                <w:b/>
                <w:bCs/>
                <w:sz w:val="18"/>
                <w:szCs w:val="18"/>
              </w:rPr>
              <w:t xml:space="preserve">#</w:t>
            </w:r>
          </w:p>
        </w:tc>
        <w:tc>
          <w:tcPr>
            <w:tcW w:type="dxa" w:w="2409"/>
            <w:shd w:fill="D9E2F3" w:color="auto" w:val="clear"/>
            <w:tcMar>
              <w:top w:type="dxa" w:w="60"/>
              <w:left w:type="dxa" w:w="90"/>
              <w:bottom w:type="dxa" w:w="60"/>
              <w:right w:type="dxa" w:w="90"/>
            </w:tcMar>
          </w:tcPr>
          <w:p>
            <w:pPr>
              <w:spacing w:after="20" w:line="270"/>
            </w:pPr>
            <w:r>
              <w:rPr>
                <w:rFonts w:ascii="맑은 고딕" w:cs="맑은 고딕" w:eastAsia="맑은 고딕" w:hAnsi="맑은 고딕"/>
                <w:b/>
                <w:bCs/>
                <w:sz w:val="18"/>
                <w:szCs w:val="18"/>
              </w:rPr>
              <w:t xml:space="preserve">세직</w:t>
            </w:r>
          </w:p>
        </w:tc>
        <w:tc>
          <w:tcPr>
            <w:tcW w:type="dxa" w:w="2409"/>
            <w:shd w:fill="D9E2F3" w:color="auto" w:val="clear"/>
            <w:tcMar>
              <w:top w:type="dxa" w:w="60"/>
              <w:left w:type="dxa" w:w="90"/>
              <w:bottom w:type="dxa" w:w="60"/>
              <w:right w:type="dxa" w:w="90"/>
            </w:tcMar>
          </w:tcPr>
          <w:p>
            <w:pPr>
              <w:spacing w:after="20" w:line="270"/>
            </w:pPr>
            <w:r>
              <w:rPr>
                <w:rFonts w:ascii="맑은 고딕" w:cs="맑은 고딕" w:eastAsia="맑은 고딕" w:hAnsi="맑은 고딕"/>
                <w:b/>
                <w:bCs/>
                <w:sz w:val="18"/>
                <w:szCs w:val="18"/>
              </w:rPr>
              <w:t xml:space="preserve">정답</w:t>
            </w:r>
          </w:p>
        </w:tc>
        <w:tc>
          <w:tcPr>
            <w:tcW w:type="dxa" w:w="4218"/>
            <w:shd w:fill="D9E2F3" w:color="auto" w:val="clear"/>
            <w:tcMar>
              <w:top w:type="dxa" w:w="60"/>
              <w:left w:type="dxa" w:w="90"/>
              <w:bottom w:type="dxa" w:w="60"/>
              <w:right w:type="dxa" w:w="90"/>
            </w:tcMar>
          </w:tcPr>
          <w:p>
            <w:pPr>
              <w:spacing w:after="20" w:line="270"/>
            </w:pPr>
            <w:r>
              <w:rPr>
                <w:rFonts w:ascii="맑은 고딕" w:cs="맑은 고딕" w:eastAsia="맑은 고딕" w:hAnsi="맑은 고딕"/>
                <w:b/>
                <w:bCs/>
                <w:sz w:val="18"/>
                <w:szCs w:val="18"/>
              </w:rPr>
              <w:t xml:space="preserve">설명</w:t>
            </w:r>
          </w:p>
        </w:tc>
      </w:tr>
      <w:tr>
        <w:trPr>
          <w:tblHeader w:val="off"/>
        </w:trPr>
        <w:tc>
          <w:tcPr>
            <w:tcW w:type="dxa" w:w="602"/>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①</w:t>
            </w:r>
          </w:p>
        </w:tc>
        <w:tc>
          <w:tcPr>
            <w:tcW w:type="dxa" w:w="2409"/>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원고와 피고 김승환 사이에서.</w:t>
            </w:r>
          </w:p>
        </w:tc>
        <w:tc>
          <w:tcPr>
            <w:tcW w:type="dxa" w:w="2409"/>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(없음)</w:t>
            </w:r>
          </w:p>
        </w:tc>
        <w:tc>
          <w:tcPr>
            <w:tcW w:type="dxa" w:w="4218"/>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불필요 문언 + 문중 마침표. 취소 대상은 채무자–수익자 사이 법률행위</w:t>
            </w:r>
          </w:p>
        </w:tc>
      </w:tr>
      <w:tr>
        <w:trPr>
          <w:tblHeader w:val="off"/>
        </w:trPr>
        <w:tc>
          <w:tcPr>
            <w:tcW w:type="dxa" w:w="602"/>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②</w:t>
            </w:r>
          </w:p>
        </w:tc>
        <w:tc>
          <w:tcPr>
            <w:tcW w:type="dxa" w:w="2409"/>
            <w:tcMar>
              <w:top w:type="dxa" w:w="60"/>
              <w:left w:type="dxa" w:w="90"/>
              <w:bottom w:type="dxa" w:w="60"/>
              <w:right w:type="dxa" w:w="90"/>
            </w:tcMar>
          </w:tcPr>
          <w:p>
            <w:pPr>
              <w:spacing w:after="20" w:line="270"/>
            </w:pPr>
            <w:r>
              <w:rPr>
                <w:rFonts w:ascii="맑은 고딕" w:cs="맑은 고딕" w:eastAsia="맑은 고딕" w:hAnsi="맑은 고딕"/>
                <w:b/>
                <w:bCs/>
                <w:color w:val="C00000"/>
                <w:sz w:val="18"/>
                <w:szCs w:val="18"/>
              </w:rPr>
              <w:t xml:space="preserve">소외 박지수</w:t>
            </w:r>
          </w:p>
        </w:tc>
        <w:tc>
          <w:tcPr>
            <w:tcW w:type="dxa" w:w="2409"/>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김지수</w:t>
            </w:r>
          </w:p>
        </w:tc>
        <w:tc>
          <w:tcPr>
            <w:tcW w:type="dxa" w:w="4218"/>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 채무자 이름 오기 → 존재하지 않는 계약을 취소 = 특정 실패. 재범 #9 4회째(본문 70·79행에도 반복)</w:t>
            </w:r>
          </w:p>
        </w:tc>
      </w:tr>
      <w:tr>
        <w:trPr>
          <w:tblHeader w:val="off"/>
        </w:trPr>
        <w:tc>
          <w:tcPr>
            <w:tcW w:type="dxa" w:w="602"/>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③</w:t>
            </w:r>
          </w:p>
        </w:tc>
        <w:tc>
          <w:tcPr>
            <w:tcW w:type="dxa" w:w="2409"/>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피고 김승환의</w:t>
            </w:r>
          </w:p>
        </w:tc>
        <w:tc>
          <w:tcPr>
            <w:tcW w:type="dxa" w:w="2409"/>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피고 김승환 사이에</w:t>
            </w:r>
          </w:p>
        </w:tc>
        <w:tc>
          <w:tcPr>
            <w:tcW w:type="dxa" w:w="4218"/>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조사</w:t>
            </w:r>
          </w:p>
        </w:tc>
      </w:tr>
      <w:tr>
        <w:trPr>
          <w:tblHeader w:val="off"/>
        </w:trPr>
        <w:tc>
          <w:tcPr>
            <w:tcW w:type="dxa" w:w="602"/>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④</w:t>
            </w:r>
          </w:p>
        </w:tc>
        <w:tc>
          <w:tcPr>
            <w:tcW w:type="dxa" w:w="2409"/>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건물에 대한</w:t>
            </w:r>
          </w:p>
        </w:tc>
        <w:tc>
          <w:tcPr>
            <w:tcW w:type="dxa" w:w="2409"/>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부동산에 관하여</w:t>
            </w:r>
          </w:p>
        </w:tc>
        <w:tc>
          <w:tcPr>
            <w:tcW w:type="dxa" w:w="4218"/>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목적물 표현</w:t>
            </w:r>
          </w:p>
        </w:tc>
      </w:tr>
      <w:tr>
        <w:trPr>
          <w:tblHeader w:val="off"/>
        </w:trPr>
        <w:tc>
          <w:tcPr>
            <w:tcW w:type="dxa" w:w="602"/>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⑤</w:t>
            </w:r>
          </w:p>
        </w:tc>
        <w:tc>
          <w:tcPr>
            <w:tcW w:type="dxa" w:w="2409"/>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2022. 10. 5.자 매매계약</w:t>
            </w:r>
          </w:p>
        </w:tc>
        <w:tc>
          <w:tcPr>
            <w:tcW w:type="dxa" w:w="2409"/>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2022. 10. 5. 체결된 매매계약</w:t>
            </w:r>
          </w:p>
        </w:tc>
        <w:tc>
          <w:tcPr>
            <w:tcW w:type="dxa" w:w="4218"/>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기재례 문언</w:t>
            </w:r>
          </w:p>
        </w:tc>
      </w:tr>
      <w:tr>
        <w:trPr>
          <w:tblHeader w:val="off"/>
        </w:trPr>
        <w:tc>
          <w:tcPr>
            <w:tcW w:type="dxa" w:w="602"/>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⑥</w:t>
            </w:r>
          </w:p>
        </w:tc>
        <w:tc>
          <w:tcPr>
            <w:tcW w:type="dxa" w:w="2409"/>
            <w:tcMar>
              <w:top w:type="dxa" w:w="60"/>
              <w:left w:type="dxa" w:w="90"/>
              <w:bottom w:type="dxa" w:w="60"/>
              <w:right w:type="dxa" w:w="90"/>
            </w:tcMar>
          </w:tcPr>
          <w:p>
            <w:pPr>
              <w:spacing w:after="20" w:line="270"/>
            </w:pPr>
            <w:r>
              <w:rPr>
                <w:rFonts w:ascii="맑은 고딕" w:cs="맑은 고딕" w:eastAsia="맑은 고딕" w:hAnsi="맑은 고딕"/>
                <w:b/>
                <w:bCs/>
                <w:color w:val="C00000"/>
                <w:sz w:val="18"/>
                <w:szCs w:val="18"/>
              </w:rPr>
              <w:t xml:space="preserve">(없음)</w:t>
            </w:r>
          </w:p>
        </w:tc>
        <w:tc>
          <w:tcPr>
            <w:tcW w:type="dxa" w:w="2409"/>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200,000,000원의 한도 내에서</w:t>
            </w:r>
          </w:p>
        </w:tc>
        <w:tc>
          <w:tcPr>
            <w:tcW w:type="dxa" w:w="4218"/>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 가액배상을 구하면 일부취소 — 한도 문언 필수</w:t>
            </w:r>
          </w:p>
        </w:tc>
      </w:tr>
      <w:tr>
        <w:trPr>
          <w:tblHeader w:val="off"/>
        </w:trPr>
        <w:tc>
          <w:tcPr>
            <w:tcW w:type="dxa" w:w="602"/>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⑦</w:t>
            </w:r>
          </w:p>
        </w:tc>
        <w:tc>
          <w:tcPr>
            <w:tcW w:type="dxa" w:w="2409"/>
            <w:tcMar>
              <w:top w:type="dxa" w:w="60"/>
              <w:left w:type="dxa" w:w="90"/>
              <w:bottom w:type="dxa" w:w="60"/>
              <w:right w:type="dxa" w:w="90"/>
            </w:tcMar>
          </w:tcPr>
          <w:p>
            <w:pPr>
              <w:spacing w:after="20" w:line="270"/>
            </w:pPr>
            <w:r>
              <w:rPr>
                <w:rFonts w:ascii="맑은 고딕" w:cs="맑은 고딕" w:eastAsia="맑은 고딕" w:hAnsi="맑은 고딕"/>
                <w:b/>
                <w:bCs/>
                <w:color w:val="C00000"/>
                <w:sz w:val="18"/>
                <w:szCs w:val="18"/>
              </w:rPr>
              <w:t xml:space="preserve">100,000,000원</w:t>
            </w:r>
          </w:p>
        </w:tc>
        <w:tc>
          <w:tcPr>
            <w:tcW w:type="dxa" w:w="2409"/>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200,000,000원</w:t>
            </w:r>
          </w:p>
        </w:tc>
        <w:tc>
          <w:tcPr>
            <w:tcW w:type="dxa" w:w="4218"/>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 min(피보전채권 2.5억+, 공동담보 6억−4억=2억) = 2억 → 작성요령 5호 위반(과소청구)</w:t>
            </w:r>
          </w:p>
        </w:tc>
      </w:tr>
      <w:tr>
        <w:trPr>
          <w:tblHeader w:val="off"/>
        </w:trPr>
        <w:tc>
          <w:tcPr>
            <w:tcW w:type="dxa" w:w="602"/>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⑧</w:t>
            </w:r>
          </w:p>
        </w:tc>
        <w:tc>
          <w:tcPr>
            <w:tcW w:type="dxa" w:w="2409"/>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및 이 판결 확정일 다음날부터</w:t>
            </w:r>
          </w:p>
        </w:tc>
        <w:tc>
          <w:tcPr>
            <w:tcW w:type="dxa" w:w="2409"/>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및 이에 대하여 이 판결확정일 다음 날부터</w:t>
            </w:r>
          </w:p>
        </w:tc>
        <w:tc>
          <w:tcPr>
            <w:tcW w:type="dxa" w:w="4218"/>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‘이에 대하여’ 누락, ‘다음 날’ 띄어쓰기</w:t>
            </w:r>
          </w:p>
        </w:tc>
      </w:tr>
    </w:tbl>
    <w:p>
      <w:pPr>
        <w:spacing w:after="60" w:line="300"/>
      </w:pPr>
      <w:r>
        <w:rPr>
          <w:rFonts w:ascii="맑은 고딕" w:cs="맑은 고딕" w:eastAsia="맑은 고딕" w:hAnsi="맑은 고딕"/>
          <w:sz w:val="20"/>
          <w:szCs w:val="20"/>
        </w:rPr>
        <w:t xml:space="preserve"/>
      </w:r>
    </w:p>
    <w:p>
      <w:pPr>
        <w:spacing w:after="80" w:line="300"/>
        <w:ind w:left="200"/>
      </w:pPr>
      <w:r>
        <w:rPr>
          <w:rFonts w:ascii="맑은 고딕" w:cs="맑은 고딕" w:eastAsia="맑은 고딕" w:hAnsi="맑은 고딕"/>
          <w:color w:val="595959"/>
          <w:sz w:val="19"/>
          <w:szCs w:val="19"/>
        </w:rPr>
        <w:t xml:space="preserve">유지: 기산일 ‘판결확정일 다음 날’·연 5% 정확 → 재범 #2 중 기산일 부분은 교정 신호(11·13·14회 오기 → 이번 정확).</w:t>
      </w:r>
    </w:p>
    <w:p>
      <w:pPr>
        <w:pStyle w:val="Heading3"/>
        <w:spacing w:after="120" w:before="240"/>
      </w:pPr>
      <w:r>
        <w:rPr>
          <w:rFonts w:ascii="맑은 고딕" w:cs="맑은 고딕" w:eastAsia="맑은 고딕" w:hAnsi="맑은 고딕"/>
          <w:b/>
          <w:bCs/>
          <w:color w:val="2E3B4E"/>
          <w:sz w:val="22"/>
          <w:szCs w:val="22"/>
        </w:rPr>
        <w:t xml:space="preserve">▶ 제3항 추자욱 (배점 11 → 추정 11) ✅</w:t>
      </w:r>
    </w:p>
    <w:p>
      <w:pPr>
        <w:spacing w:after="80" w:line="300"/>
        <w:ind w:left="200"/>
      </w:pPr>
      <w:r>
        <w:rPr>
          <w:rFonts w:ascii="맑은 고딕" w:cs="맑은 고딕" w:eastAsia="맑은 고딕" w:hAnsi="맑은 고딕"/>
          <w:b/>
          <w:bCs/>
          <w:color w:val="1F4E9A"/>
          <w:sz w:val="20"/>
          <w:szCs w:val="20"/>
        </w:rPr>
        <w:t xml:space="preserve">✓ </w:t>
      </w:r>
      <w:r>
        <w:rPr>
          <w:rFonts w:ascii="맑은 고딕" w:cs="맑은 고딕" w:eastAsia="맑은 고딕" w:hAnsi="맑은 고딕"/>
          <w:sz w:val="20"/>
          <w:szCs w:val="20"/>
        </w:rPr>
        <w:t xml:space="preserve">“3. 피고 추자욱은 원고에게 150,000,000원 및 이에 대하여 2021. 6. 16.부터 이 사건 소장 부본 송달일까지는 연 6%의, 그 다음 날부터 다 갚는 날까지는 연 12%의 각 비율로 계산한 돈을 지급하라.” — 일치. ‘이에 대한’/‘이에 대하여’, ‘그 다음날’ 띄어쓰기만 상이.</w:t>
      </w:r>
    </w:p>
    <w:p>
      <w:pPr>
        <w:pStyle w:val="Heading3"/>
        <w:spacing w:after="120" w:before="240"/>
      </w:pPr>
      <w:r>
        <w:rPr>
          <w:rFonts w:ascii="맑은 고딕" w:cs="맑은 고딕" w:eastAsia="맑은 고딕" w:hAnsi="맑은 고딕"/>
          <w:b/>
          <w:bCs/>
          <w:color w:val="2E3B4E"/>
          <w:sz w:val="22"/>
          <w:szCs w:val="22"/>
        </w:rPr>
        <w:t xml:space="preserve">▶ 제4항 강현수 (배점 16 → 추정 11) [필수]</w:t>
      </w:r>
    </w:p>
    <w:p>
      <w:pPr>
        <w:spacing w:after="80" w:line="300"/>
        <w:ind w:left="200"/>
      </w:pPr>
      <w:r>
        <w:rPr>
          <w:rFonts w:ascii="맑은 고딕" w:cs="맑은 고딕" w:eastAsia="맑은 고딕" w:hAnsi="맑은 고딕"/>
          <w:b/>
          <w:bCs/>
          <w:color w:val="C00000"/>
          <w:sz w:val="20"/>
          <w:szCs w:val="20"/>
        </w:rPr>
        <w:t xml:space="preserve">✗ </w:t>
      </w:r>
      <w:r>
        <w:rPr>
          <w:rFonts w:ascii="맑은 고딕" w:cs="맑은 고딕" w:eastAsia="맑은 고딕" w:hAnsi="맑은 고딕"/>
          <w:sz w:val="20"/>
          <w:szCs w:val="20"/>
        </w:rPr>
        <w:t xml:space="preserve">세직: “… 2024. 7. 1.부터 이 사건 소장부본 송달일까지는 </w:t>
      </w:r>
      <w:r>
        <w:rPr>
          <w:rFonts w:ascii="맑은 고딕" w:cs="맑은 고딕" w:eastAsia="맑은 고딕" w:hAnsi="맑은 고딕"/>
          <w:b/>
          <w:bCs/>
          <w:color w:val="C00000"/>
          <w:sz w:val="20"/>
          <w:szCs w:val="20"/>
        </w:rPr>
        <w:t xml:space="preserve">연 12%</w:t>
      </w:r>
      <w:r>
        <w:rPr>
          <w:rFonts w:ascii="맑은 고딕" w:cs="맑은 고딕" w:eastAsia="맑은 고딕" w:hAnsi="맑은 고딕"/>
          <w:sz w:val="20"/>
          <w:szCs w:val="20"/>
        </w:rPr>
        <w:t xml:space="preserve">의, 그 다음날부터 다 갚는 날까지는 연 12%의 각 비율로 계산한 돈을 지급하라.”</w:t>
      </w:r>
    </w:p>
    <w:p>
      <w:pPr>
        <w:spacing w:after="80" w:line="300"/>
        <w:ind w:left="200"/>
      </w:pPr>
      <w:r>
        <w:rPr>
          <w:rFonts w:ascii="맑은 고딕" w:cs="맑은 고딕" w:eastAsia="맑은 고딕" w:hAnsi="맑은 고딕"/>
          <w:b/>
          <w:bCs/>
          <w:color w:val="1F4E9A"/>
          <w:sz w:val="20"/>
          <w:szCs w:val="20"/>
        </w:rPr>
        <w:t xml:space="preserve">✓ </w:t>
      </w:r>
      <w:r>
        <w:rPr>
          <w:rFonts w:ascii="맑은 고딕" w:cs="맑은 고딕" w:eastAsia="맑은 고딕" w:hAnsi="맑은 고딕"/>
          <w:sz w:val="20"/>
          <w:szCs w:val="20"/>
        </w:rPr>
        <w:t xml:space="preserve">정답: “4. 피고 강현수는 원고에게 155,000,000원 및 이에 대한 2024. 7. 1.부터 이 사건 소장 부본 송달일까지는 연 6%의, 그 다음 날부터 다 갚는 날까지는 연 12%의 각 비율로 계산한 돈을 지급하라.”</w:t>
      </w:r>
    </w:p>
    <w:p>
      <w:pPr>
        <w:spacing w:after="80" w:line="300"/>
        <w:ind w:left="200"/>
      </w:pPr>
      <w:r>
        <w:rPr>
          <w:rFonts w:ascii="맑은 고딕" w:cs="맑은 고딕" w:eastAsia="맑은 고딕" w:hAnsi="맑은 고딕"/>
          <w:b/>
          <w:bCs/>
          <w:color w:val="C00000"/>
          <w:sz w:val="20"/>
          <w:szCs w:val="20"/>
        </w:rPr>
        <w:t xml:space="preserve">🔴 [신규 #14] 이율 전사 실패 </w:t>
      </w:r>
      <w:r>
        <w:rPr>
          <w:rFonts w:ascii="맑은 고딕" w:cs="맑은 고딕" w:eastAsia="맑은 고딕" w:hAnsi="맑은 고딕"/>
          <w:sz w:val="20"/>
          <w:szCs w:val="20"/>
        </w:rPr>
        <w:t xml:space="preserve">— 청구원인 (3)-3)·4)에는 연 6%를 정확히 썼는데 취지에서 12%. 지식 문제가 아니라 옮겨 적기 문제. 금액 1억 5,500만 원·기산일 2024. 7. 1.(인도일 다음 날)·‘원고에게’(금전 대위는 대위채권자에게 직접 지급) 정확. ‘소장부본’ → ‘소장 부본’.</w:t>
      </w:r>
    </w:p>
    <w:p>
      <w:pPr>
        <w:pStyle w:val="Heading3"/>
        <w:spacing w:after="120" w:before="240"/>
      </w:pPr>
      <w:r>
        <w:rPr>
          <w:rFonts w:ascii="맑은 고딕" w:cs="맑은 고딕" w:eastAsia="맑은 고딕" w:hAnsi="맑은 고딕"/>
          <w:b/>
          <w:bCs/>
          <w:color w:val="2E3B4E"/>
          <w:sz w:val="22"/>
          <w:szCs w:val="22"/>
        </w:rPr>
        <w:t xml:space="preserve">▶ 제5·6항 소송비용·가집행 (배점 2 → 추정 1.5)</w:t>
      </w:r>
    </w:p>
    <w:p>
      <w:pPr>
        <w:spacing w:after="80" w:line="300"/>
        <w:ind w:left="200"/>
      </w:pPr>
      <w:r>
        <w:rPr>
          <w:rFonts w:ascii="맑은 고딕" w:cs="맑은 고딕" w:eastAsia="맑은 고딕" w:hAnsi="맑은 고딕"/>
          <w:b/>
          <w:bCs/>
          <w:color w:val="C00000"/>
          <w:sz w:val="20"/>
          <w:szCs w:val="20"/>
        </w:rPr>
        <w:t xml:space="preserve">✗ </w:t>
      </w:r>
      <w:r>
        <w:rPr>
          <w:rFonts w:ascii="맑은 고딕" w:cs="맑은 고딕" w:eastAsia="맑은 고딕" w:hAnsi="맑은 고딕"/>
          <w:sz w:val="20"/>
          <w:szCs w:val="20"/>
        </w:rPr>
        <w:t xml:space="preserve">“5. 소송비용은 피고들이 부담한다” / “6. 제3항, 제4항은 가집행할 수 있다.”</w:t>
      </w:r>
    </w:p>
    <w:p>
      <w:pPr>
        <w:spacing w:after="80" w:line="300"/>
        <w:ind w:left="200"/>
      </w:pPr>
      <w:r>
        <w:rPr>
          <w:rFonts w:ascii="맑은 고딕" w:cs="맑은 고딕" w:eastAsia="맑은 고딕" w:hAnsi="맑은 고딕"/>
          <w:b/>
          <w:bCs/>
          <w:color w:val="1F4E9A"/>
          <w:sz w:val="20"/>
          <w:szCs w:val="20"/>
        </w:rPr>
        <w:t xml:space="preserve">✓ </w:t>
      </w:r>
      <w:r>
        <w:rPr>
          <w:rFonts w:ascii="맑은 고딕" w:cs="맑은 고딕" w:eastAsia="맑은 고딕" w:hAnsi="맑은 고딕"/>
          <w:sz w:val="20"/>
          <w:szCs w:val="20"/>
        </w:rPr>
        <w:t xml:space="preserve">“5. 소송비용은 피고들이 부담한다.” / “6. 제3, 4항은 각 가집행할 수 있다.”</w:t>
      </w:r>
    </w:p>
    <w:p>
      <w:pPr>
        <w:spacing w:after="80" w:line="300"/>
        <w:ind w:left="200"/>
      </w:pPr>
      <w:r>
        <w:rPr>
          <w:rFonts w:ascii="맑은 고딕" w:cs="맑은 고딕" w:eastAsia="맑은 고딕" w:hAnsi="맑은 고딕"/>
          <w:color w:val="595959"/>
          <w:sz w:val="19"/>
          <w:szCs w:val="19"/>
        </w:rPr>
        <w:t xml:space="preserve">가집행 선별 정확: 1항(등기의사표시)·2-가(형성)·2-나(판결확정 후 이행)는 가집행 불가 → 4연속 정확.</w:t>
      </w:r>
    </w:p>
    <w:p>
      <w:pPr>
        <w:pStyle w:val="Heading2"/>
        <w:pBdr>
          <w:bottom w:val="single" w:color="1F3864" w:sz="6" w:space="2"/>
        </w:pBdr>
        <w:spacing w:after="120" w:before="240"/>
      </w:pPr>
      <w:r>
        <w:rPr>
          <w:rFonts w:ascii="맑은 고딕" w:cs="맑은 고딕" w:eastAsia="맑은 고딕" w:hAnsi="맑은 고딕"/>
          <w:b/>
          <w:bCs/>
          <w:color w:val="1F3864"/>
          <w:sz w:val="25"/>
          <w:szCs w:val="25"/>
        </w:rPr>
        <w:t xml:space="preserve">【3】 청구원인 실체 법리 검토 (배점 103 → 추정 60.5)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6"/>
        <w:gridCol w:w="741"/>
        <w:gridCol w:w="741"/>
        <w:gridCol w:w="4450"/>
      </w:tblGrid>
      <w:tr>
        <w:trPr>
          <w:tblHeader/>
        </w:trPr>
        <w:tc>
          <w:tcPr>
            <w:tcW w:type="dxa" w:w="3706"/>
            <w:shd w:fill="D9E2F3" w:color="auto" w:val="clear"/>
            <w:tcMar>
              <w:top w:type="dxa" w:w="60"/>
              <w:left w:type="dxa" w:w="90"/>
              <w:bottom w:type="dxa" w:w="60"/>
              <w:right w:type="dxa" w:w="90"/>
            </w:tcMar>
          </w:tcPr>
          <w:p>
            <w:pPr>
              <w:spacing w:after="20" w:line="270"/>
            </w:pPr>
            <w:r>
              <w:rPr>
                <w:rFonts w:ascii="맑은 고딕" w:cs="맑은 고딕" w:eastAsia="맑은 고딕" w:hAnsi="맑은 고딕"/>
                <w:b/>
                <w:bCs/>
                <w:sz w:val="18"/>
                <w:szCs w:val="18"/>
              </w:rPr>
              <w:t xml:space="preserve">청구 · 논점</w:t>
            </w:r>
          </w:p>
        </w:tc>
        <w:tc>
          <w:tcPr>
            <w:tcW w:type="dxa" w:w="741"/>
            <w:shd w:fill="D9E2F3" w:color="auto" w:val="clear"/>
            <w:tcMar>
              <w:top w:type="dxa" w:w="60"/>
              <w:left w:type="dxa" w:w="90"/>
              <w:bottom w:type="dxa" w:w="60"/>
              <w:right w:type="dxa" w:w="90"/>
            </w:tcMar>
          </w:tcPr>
          <w:p>
            <w:pPr>
              <w:spacing w:after="20" w:line="270"/>
            </w:pPr>
            <w:r>
              <w:rPr>
                <w:rFonts w:ascii="맑은 고딕" w:cs="맑은 고딕" w:eastAsia="맑은 고딕" w:hAnsi="맑은 고딕"/>
                <w:b/>
                <w:bCs/>
                <w:sz w:val="18"/>
                <w:szCs w:val="18"/>
              </w:rPr>
              <w:t xml:space="preserve">배점</w:t>
            </w:r>
          </w:p>
        </w:tc>
        <w:tc>
          <w:tcPr>
            <w:tcW w:type="dxa" w:w="741"/>
            <w:shd w:fill="D9E2F3" w:color="auto" w:val="clear"/>
            <w:tcMar>
              <w:top w:type="dxa" w:w="60"/>
              <w:left w:type="dxa" w:w="90"/>
              <w:bottom w:type="dxa" w:w="60"/>
              <w:right w:type="dxa" w:w="90"/>
            </w:tcMar>
          </w:tcPr>
          <w:p>
            <w:pPr>
              <w:spacing w:after="20" w:line="270"/>
            </w:pPr>
            <w:r>
              <w:rPr>
                <w:rFonts w:ascii="맑은 고딕" w:cs="맑은 고딕" w:eastAsia="맑은 고딕" w:hAnsi="맑은 고딕"/>
                <w:b/>
                <w:bCs/>
                <w:sz w:val="18"/>
                <w:szCs w:val="18"/>
              </w:rPr>
              <w:t xml:space="preserve">추정</w:t>
            </w:r>
          </w:p>
        </w:tc>
        <w:tc>
          <w:tcPr>
            <w:tcW w:type="dxa" w:w="4450"/>
            <w:shd w:fill="D9E2F3" w:color="auto" w:val="clear"/>
            <w:tcMar>
              <w:top w:type="dxa" w:w="60"/>
              <w:left w:type="dxa" w:w="90"/>
              <w:bottom w:type="dxa" w:w="60"/>
              <w:right w:type="dxa" w:w="90"/>
            </w:tcMar>
          </w:tcPr>
          <w:p>
            <w:pPr>
              <w:spacing w:after="20" w:line="270"/>
            </w:pPr>
            <w:r>
              <w:rPr>
                <w:rFonts w:ascii="맑은 고딕" w:cs="맑은 고딕" w:eastAsia="맑은 고딕" w:hAnsi="맑은 고딕"/>
                <w:b/>
                <w:bCs/>
                <w:sz w:val="18"/>
                <w:szCs w:val="18"/>
              </w:rPr>
              <w:t xml:space="preserve">핵심</w:t>
            </w:r>
          </w:p>
        </w:tc>
      </w:tr>
      <w:tr>
        <w:trPr>
          <w:tblHeader w:val="off"/>
        </w:trPr>
        <w:tc>
          <w:tcPr>
            <w:tcW w:type="dxa" w:w="3706"/>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① 소유권이전등기청구권의 발생</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10</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3</w:t>
            </w:r>
          </w:p>
        </w:tc>
        <w:tc>
          <w:tcPr>
            <w:tcW w:type="dxa" w:w="4450"/>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점유 10년을 20년으로 오산, 점유승계·§197 추정 미기재, ‘박민수’ 오기</w:t>
            </w:r>
          </w:p>
        </w:tc>
      </w:tr>
      <w:tr>
        <w:trPr>
          <w:tblHeader w:val="off"/>
        </w:trPr>
        <w:tc>
          <w:tcPr>
            <w:tcW w:type="dxa" w:w="3706"/>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① 반론1 응소로 인한 시효중단</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3</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1</w:t>
            </w:r>
          </w:p>
        </w:tc>
        <w:tc>
          <w:tcPr>
            <w:tcW w:type="dxa" w:w="4450"/>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결론 정확, 논거 이탈(‘점유 계속’ 논리)</w:t>
            </w:r>
          </w:p>
        </w:tc>
      </w:tr>
      <w:tr>
        <w:trPr>
          <w:tblHeader w:val="off"/>
        </w:trPr>
        <w:tc>
          <w:tcPr>
            <w:tcW w:type="dxa" w:w="3706"/>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① 반론2 점유시기의 선택</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3</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0.5</w:t>
            </w:r>
          </w:p>
        </w:tc>
        <w:tc>
          <w:tcPr>
            <w:tcW w:type="dxa" w:w="4450"/>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선택권 법리(97다56822) 부재</w:t>
            </w:r>
          </w:p>
        </w:tc>
      </w:tr>
      <w:tr>
        <w:trPr>
          <w:tblHeader w:val="off"/>
        </w:trPr>
        <w:tc>
          <w:tcPr>
            <w:tcW w:type="dxa" w:w="3706"/>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① 반론3 타주점유 전환</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3</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1</w:t>
            </w:r>
          </w:p>
        </w:tc>
        <w:tc>
          <w:tcPr>
            <w:tcW w:type="dxa" w:w="4450"/>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‘타인 토지 매수’ 부분(97다37661) 누락</w:t>
            </w:r>
          </w:p>
        </w:tc>
      </w:tr>
      <w:tr>
        <w:trPr>
          <w:tblHeader w:val="off"/>
        </w:trPr>
        <w:tc>
          <w:tcPr>
            <w:tcW w:type="dxa" w:w="3706"/>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① 반론4 양도 제한</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4</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3.5</w:t>
            </w:r>
          </w:p>
        </w:tc>
        <w:tc>
          <w:tcPr>
            <w:tcW w:type="dxa" w:w="4450"/>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정확(반대급부 의무 없음 보충)</w:t>
            </w:r>
          </w:p>
        </w:tc>
      </w:tr>
      <w:tr>
        <w:trPr>
          <w:tblHeader w:val="off"/>
        </w:trPr>
        <w:tc>
          <w:tcPr>
            <w:tcW w:type="dxa" w:w="3706"/>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② 사해행위취소·가액배상청구권의 발생</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15</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8</w:t>
            </w:r>
          </w:p>
        </w:tc>
        <w:tc>
          <w:tcPr>
            <w:tcW w:type="dxa" w:w="4450"/>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요건 정확, 가액 1억(정답 2억), 부등법 §57 누락</w:t>
            </w:r>
          </w:p>
        </w:tc>
      </w:tr>
      <w:tr>
        <w:trPr>
          <w:tblHeader w:val="off"/>
        </w:trPr>
        <w:tc>
          <w:tcPr>
            <w:tcW w:type="dxa" w:w="3706"/>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② 반론1 소의 이익</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3</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3</w:t>
            </w:r>
          </w:p>
        </w:tc>
        <w:tc>
          <w:tcPr>
            <w:tcW w:type="dxa" w:w="4450"/>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정확</w:t>
            </w:r>
          </w:p>
        </w:tc>
      </w:tr>
      <w:tr>
        <w:trPr>
          <w:tblHeader w:val="off"/>
        </w:trPr>
        <w:tc>
          <w:tcPr>
            <w:tcW w:type="dxa" w:w="3706"/>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② 반론2 안분비례</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3</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2.5</w:t>
            </w:r>
          </w:p>
        </w:tc>
        <w:tc>
          <w:tcPr>
            <w:tcW w:type="dxa" w:w="4450"/>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정확</w:t>
            </w:r>
          </w:p>
        </w:tc>
      </w:tr>
      <w:tr>
        <w:trPr>
          <w:tblHeader w:val="off"/>
        </w:trPr>
        <w:tc>
          <w:tcPr>
            <w:tcW w:type="dxa" w:w="3706"/>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② 반론3 근저당 공제</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4</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2</w:t>
            </w:r>
          </w:p>
        </w:tc>
        <w:tc>
          <w:tcPr>
            <w:tcW w:type="dxa" w:w="4450"/>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결론 정확, 논거 이탈</w:t>
            </w:r>
          </w:p>
        </w:tc>
      </w:tr>
      <w:tr>
        <w:trPr>
          <w:tblHeader w:val="off"/>
        </w:trPr>
        <w:tc>
          <w:tcPr>
            <w:tcW w:type="dxa" w:w="3706"/>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② 반론4 가압류채권액 공제</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3</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1.5</w:t>
            </w:r>
          </w:p>
        </w:tc>
        <w:tc>
          <w:tcPr>
            <w:tcW w:type="dxa" w:w="4450"/>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2)·3) 논거 상호 모순</w:t>
            </w:r>
          </w:p>
        </w:tc>
      </w:tr>
      <w:tr>
        <w:trPr>
          <w:tblHeader w:val="off"/>
        </w:trPr>
        <w:tc>
          <w:tcPr>
            <w:tcW w:type="dxa" w:w="3706"/>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③ 추심금채권의 발생</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7</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6</w:t>
            </w:r>
          </w:p>
        </w:tc>
        <w:tc>
          <w:tcPr>
            <w:tcW w:type="dxa" w:w="4450"/>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집행권원(공정증서) 누락</w:t>
            </w:r>
          </w:p>
        </w:tc>
      </w:tr>
      <w:tr>
        <w:trPr>
          <w:tblHeader w:val="off"/>
        </w:trPr>
        <w:tc>
          <w:tcPr>
            <w:tcW w:type="dxa" w:w="3706"/>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③ 반론1 당사자적격 상실</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3</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2</w:t>
            </w:r>
          </w:p>
        </w:tc>
        <w:tc>
          <w:tcPr>
            <w:tcW w:type="dxa" w:w="4450"/>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2025 전합 논거 — 현행법 부분 정답처리</w:t>
            </w:r>
          </w:p>
        </w:tc>
      </w:tr>
      <w:tr>
        <w:trPr>
          <w:tblHeader w:val="off"/>
        </w:trPr>
        <w:tc>
          <w:tcPr>
            <w:tcW w:type="dxa" w:w="3706"/>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③ 반론2 소멸시효 완성</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6</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3.5</w:t>
            </w:r>
          </w:p>
        </w:tc>
        <w:tc>
          <w:tcPr>
            <w:tcW w:type="dxa" w:w="4450"/>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재진행 기산점 오류, 추심채권자 효력 누락</w:t>
            </w:r>
          </w:p>
        </w:tc>
      </w:tr>
      <w:tr>
        <w:trPr>
          <w:tblHeader w:val="off"/>
        </w:trPr>
        <w:tc>
          <w:tcPr>
            <w:tcW w:type="dxa" w:w="3706"/>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④ 채권자대위 보증금반환청구</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14</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10</w:t>
            </w:r>
          </w:p>
        </w:tc>
        <w:tc>
          <w:tcPr>
            <w:tcW w:type="dxa" w:w="4450"/>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불가분채권 근거·상사이율 근거·승계 시점 약함</w:t>
            </w:r>
          </w:p>
        </w:tc>
      </w:tr>
      <w:tr>
        <w:trPr>
          <w:tblHeader w:val="off"/>
        </w:trPr>
        <w:tc>
          <w:tcPr>
            <w:tcW w:type="dxa" w:w="3706"/>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④ 반론1 피보전채권 부존재</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5</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4.5</w:t>
            </w:r>
          </w:p>
        </w:tc>
        <w:tc>
          <w:tcPr>
            <w:tcW w:type="dxa" w:w="4450"/>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정확</w:t>
            </w:r>
          </w:p>
        </w:tc>
      </w:tr>
      <w:tr>
        <w:trPr>
          <w:tblHeader w:val="off"/>
        </w:trPr>
        <w:tc>
          <w:tcPr>
            <w:tcW w:type="dxa" w:w="3706"/>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④ 반론2 대항력 부존재</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3</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1</w:t>
            </w:r>
          </w:p>
        </w:tc>
        <w:tc>
          <w:tcPr>
            <w:tcW w:type="dxa" w:w="4450"/>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‘동업관계’ 논거(기록에 없는 사실)</w:t>
            </w:r>
          </w:p>
        </w:tc>
      </w:tr>
      <w:tr>
        <w:trPr>
          <w:tblHeader w:val="off"/>
        </w:trPr>
        <w:tc>
          <w:tcPr>
            <w:tcW w:type="dxa" w:w="3706"/>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④ 반론3 분할채권</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3</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1.5</w:t>
            </w:r>
          </w:p>
        </w:tc>
        <w:tc>
          <w:tcPr>
            <w:tcW w:type="dxa" w:w="4450"/>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‘대표적인 불가분채무’ — 용어·근거 오류</w:t>
            </w:r>
          </w:p>
        </w:tc>
      </w:tr>
      <w:tr>
        <w:trPr>
          <w:tblHeader w:val="off"/>
        </w:trPr>
        <w:tc>
          <w:tcPr>
            <w:tcW w:type="dxa" w:w="3706"/>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④ 반론4 공제합의 및 변제</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6</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3.5</w:t>
            </w:r>
          </w:p>
        </w:tc>
        <w:tc>
          <w:tcPr>
            <w:tcW w:type="dxa" w:w="4450"/>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결론 정확, 근거(§409·관련성) 누락</w:t>
            </w:r>
          </w:p>
        </w:tc>
      </w:tr>
      <w:tr>
        <w:trPr>
          <w:tblHeader w:val="off"/>
        </w:trPr>
        <w:tc>
          <w:tcPr>
            <w:tcW w:type="dxa" w:w="3706"/>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④ 반론5 전부명령</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4</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2.5</w:t>
            </w:r>
          </w:p>
        </w:tc>
        <w:tc>
          <w:tcPr>
            <w:tcW w:type="dxa" w:w="4450"/>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‘변제의 효력’ — 개념 오류</w:t>
            </w:r>
          </w:p>
        </w:tc>
      </w:tr>
      <w:tr>
        <w:trPr>
          <w:tblHeader w:val="off"/>
        </w:trPr>
        <w:tc>
          <w:tcPr>
            <w:tcW w:type="dxa" w:w="3706"/>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결론</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1</w:t>
            </w:r>
          </w:p>
        </w:tc>
        <w:tc>
          <w:tcPr>
            <w:tcW w:type="dxa" w:w="74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0</w:t>
            </w:r>
          </w:p>
        </w:tc>
        <w:tc>
          <w:tcPr>
            <w:tcW w:type="dxa" w:w="4450"/>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누락</w:t>
            </w:r>
          </w:p>
        </w:tc>
      </w:tr>
    </w:tbl>
    <w:p>
      <w:pPr>
        <w:spacing w:after="60" w:line="300"/>
      </w:pPr>
      <w:r>
        <w:rPr>
          <w:rFonts w:ascii="맑은 고딕" w:cs="맑은 고딕" w:eastAsia="맑은 고딕" w:hAnsi="맑은 고딕"/>
          <w:sz w:val="20"/>
          <w:szCs w:val="20"/>
        </w:rPr>
        <w:t xml:space="preserve"/>
      </w:r>
    </w:p>
    <w:p>
      <w:pPr>
        <w:pStyle w:val="Heading3"/>
        <w:spacing w:after="120" w:before="240"/>
      </w:pPr>
      <w:r>
        <w:rPr>
          <w:rFonts w:ascii="맑은 고딕" w:cs="맑은 고딕" w:eastAsia="맑은 고딕" w:hAnsi="맑은 고딕"/>
          <w:b/>
          <w:bCs/>
          <w:color w:val="2E3B4E"/>
          <w:sz w:val="22"/>
          <w:szCs w:val="22"/>
        </w:rPr>
        <w:t xml:space="preserve">【3-A】 틀린 법리 집중 정리</w:t>
      </w:r>
    </w:p>
    <w:p>
      <w:pPr>
        <w:spacing w:after="60" w:line="300"/>
      </w:pPr>
      <w:r>
        <w:rPr>
          <w:rFonts w:ascii="맑은 고딕" w:cs="맑은 고딕" w:eastAsia="맑은 고딕" w:hAnsi="맑은 고딕"/>
          <w:b/>
          <w:bCs/>
          <w:color w:val="1F3864"/>
          <w:sz w:val="20"/>
          <w:szCs w:val="20"/>
        </w:rPr>
        <w:t xml:space="preserve">A-1 점유취득시효 — 기간 계산과 점유 기산점 선택 [치명]</w:t>
      </w:r>
    </w:p>
    <w:p>
      <w:pPr>
        <w:spacing w:after="80" w:line="300"/>
        <w:ind w:left="200"/>
      </w:pPr>
      <w:r>
        <w:rPr>
          <w:rFonts w:ascii="맑은 고딕" w:cs="맑은 고딕" w:eastAsia="맑은 고딕" w:hAnsi="맑은 고딕"/>
          <w:b/>
          <w:bCs/>
          <w:color w:val="C00000"/>
          <w:sz w:val="20"/>
          <w:szCs w:val="20"/>
        </w:rPr>
        <w:t xml:space="preserve">✗ </w:t>
      </w:r>
      <w:r>
        <w:rPr>
          <w:rFonts w:ascii="맑은 고딕" w:cs="맑은 고딕" w:eastAsia="맑은 고딕" w:hAnsi="맑은 고딕"/>
          <w:sz w:val="20"/>
          <w:szCs w:val="20"/>
        </w:rPr>
        <w:t xml:space="preserve">세직 → </w:t>
      </w:r>
      <w:r>
        <w:rPr>
          <w:rFonts w:ascii="맑은 고딕" w:cs="맑은 고딕" w:eastAsia="맑은 고딕" w:hAnsi="맑은 고딕"/>
          <w:sz w:val="20"/>
          <w:szCs w:val="20"/>
        </w:rPr>
        <w:t xml:space="preserve">“원고의 부친인 망 박종범과 모친인 망 김미란은 … 2014. 1. 1. 박민수로부터 매수하여 … 2024. 1. 1.까지 20년간 점유로 인한 점유취득시효완성”</w:t>
      </w:r>
    </w:p>
    <w:p>
      <w:pPr>
        <w:spacing w:after="80" w:line="300"/>
        <w:ind w:left="200"/>
      </w:pPr>
      <w:r>
        <w:rPr>
          <w:rFonts w:ascii="맑은 고딕" w:cs="맑은 고딕" w:eastAsia="맑은 고딕" w:hAnsi="맑은 고딕"/>
          <w:b/>
          <w:bCs/>
          <w:color w:val="1F4E9A"/>
          <w:sz w:val="20"/>
          <w:szCs w:val="20"/>
        </w:rPr>
        <w:t xml:space="preserve">✓ </w:t>
      </w:r>
      <w:r>
        <w:rPr>
          <w:rFonts w:ascii="맑은 고딕" w:cs="맑은 고딕" w:eastAsia="맑은 고딕" w:hAnsi="맑은 고딕"/>
          <w:sz w:val="20"/>
          <w:szCs w:val="20"/>
        </w:rPr>
        <w:t xml:space="preserve">정답 → </w:t>
      </w:r>
      <w:r>
        <w:rPr>
          <w:rFonts w:ascii="맑은 고딕" w:cs="맑은 고딕" w:eastAsia="맑은 고딕" w:hAnsi="맑은 고딕"/>
          <w:sz w:val="20"/>
          <w:szCs w:val="20"/>
        </w:rPr>
        <w:t xml:space="preserve">2014. 1. 1.부터 2024. 1. 1.까지는 10년 → 20년 미달로 시효 미완성. 점유가 순차 승계된 경우 시효 주장자는 자기 점유만 또는 전 점유자의 점유를 아울러 주장할 수 있고(민법 §199①), 어느 단계 점유자까지 아우를지도 선택할 수 있다. 다만 그 점유자의 점유기간 중 임의의 시점을 기산점으로 고를 수는 없다(대판 1998. 4. 10. 97다56822).</w:t>
      </w:r>
    </w:p>
    <w:p>
      <w:pPr>
        <w:spacing w:after="80" w:line="300"/>
        <w:ind w:left="200"/>
      </w:pPr>
      <w:r>
        <w:rPr>
          <w:rFonts w:ascii="맑은 고딕" w:cs="맑은 고딕" w:eastAsia="맑은 고딕" w:hAnsi="맑은 고딕"/>
          <w:b/>
          <w:bCs/>
          <w:color w:val="1F4E9A"/>
          <w:sz w:val="20"/>
          <w:szCs w:val="20"/>
        </w:rPr>
        <w:t xml:space="preserve">✓ </w:t>
      </w:r>
      <w:r>
        <w:rPr>
          <w:rFonts w:ascii="맑은 고딕" w:cs="맑은 고딕" w:eastAsia="맑은 고딕" w:hAnsi="맑은 고딕"/>
          <w:sz w:val="20"/>
          <w:szCs w:val="20"/>
        </w:rPr>
        <w:t xml:space="preserve">정답 → </w:t>
      </w:r>
      <w:r>
        <w:rPr>
          <w:rFonts w:ascii="맑은 고딕" w:cs="맑은 고딕" w:eastAsia="맑은 고딕" w:hAnsi="맑은 고딕"/>
          <w:sz w:val="20"/>
          <w:szCs w:val="20"/>
        </w:rPr>
        <w:t xml:space="preserve">박철수(1982. 1. 31.)부터 아우르면 2002. 1. 31. 완성 → 오우석(2023. 9. 1. 취득)은 완성 후 취득자 → 대항 불가. 박만수(2004. 3. 4.)부터 아우르면 2024. 3. 4. 완성 → 오우석은 완성 당시 소유자 → 청구 가능. 이 “선택”이 출제 의도.</w:t>
      </w:r>
    </w:p>
    <w:p>
      <w:pPr>
        <w:spacing w:after="80" w:line="300"/>
        <w:ind w:left="200"/>
      </w:pPr>
      <w:r>
        <w:rPr>
          <w:rFonts w:ascii="맑은 고딕" w:cs="맑은 고딕" w:eastAsia="맑은 고딕" w:hAnsi="맑은 고딕"/>
          <w:b/>
          <w:bCs/>
          <w:color w:val="1F4E9A"/>
          <w:sz w:val="20"/>
          <w:szCs w:val="20"/>
        </w:rPr>
        <w:t xml:space="preserve">✓ </w:t>
      </w:r>
      <w:r>
        <w:rPr>
          <w:rFonts w:ascii="맑은 고딕" w:cs="맑은 고딕" w:eastAsia="맑은 고딕" w:hAnsi="맑은 고딕"/>
          <w:sz w:val="20"/>
          <w:szCs w:val="20"/>
        </w:rPr>
        <w:t xml:space="preserve">정답 → </w:t>
      </w:r>
      <w:r>
        <w:rPr>
          <w:rFonts w:ascii="맑은 고딕" w:cs="맑은 고딕" w:eastAsia="맑은 고딕" w:hAnsi="맑은 고딕"/>
          <w:sz w:val="20"/>
          <w:szCs w:val="20"/>
        </w:rPr>
        <w:t xml:space="preserve">매수인은 박종범 단독(김미란은 함께 거주했을 뿐). 박만수 → ‘박민수’ 오기. 자주·평온·공연 점유는 §197①로 추정.</w:t>
      </w:r>
    </w:p>
    <w:p>
      <w:pPr>
        <w:spacing w:after="80" w:line="300"/>
        <w:ind w:left="200"/>
      </w:pPr>
      <w:r>
        <w:rPr>
          <w:rFonts w:ascii="맑은 고딕" w:cs="맑은 고딕" w:eastAsia="맑은 고딕" w:hAnsi="맑은 고딕"/>
          <w:b/>
          <w:bCs/>
          <w:color w:val="7F6000"/>
          <w:sz w:val="20"/>
          <w:szCs w:val="20"/>
        </w:rPr>
        <w:t xml:space="preserve">암기 포인트: </w:t>
      </w:r>
      <w:r>
        <w:rPr>
          <w:rFonts w:ascii="맑은 고딕" w:cs="맑은 고딕" w:eastAsia="맑은 고딕" w:hAnsi="맑은 고딕"/>
          <w:sz w:val="20"/>
          <w:szCs w:val="20"/>
        </w:rPr>
        <w:t xml:space="preserve">완성일 = 선택한 점유개시일 + 20년 → 그날 현재 등기명의인 = 피고. 이 식을 답안에 그대로 쓴다.</w:t>
      </w:r>
    </w:p>
    <w:p>
      <w:pPr>
        <w:spacing w:after="60" w:line="300"/>
      </w:pPr>
      <w:r>
        <w:rPr>
          <w:rFonts w:ascii="맑은 고딕" w:cs="맑은 고딕" w:eastAsia="맑은 고딕" w:hAnsi="맑은 고딕"/>
          <w:b/>
          <w:bCs/>
          <w:color w:val="1F3864"/>
          <w:sz w:val="20"/>
          <w:szCs w:val="20"/>
        </w:rPr>
        <w:t xml:space="preserve">A-2 응소와 시효중단 [필수]</w:t>
      </w:r>
    </w:p>
    <w:p>
      <w:pPr>
        <w:spacing w:after="80" w:line="300"/>
        <w:ind w:left="200"/>
      </w:pPr>
      <w:r>
        <w:rPr>
          <w:rFonts w:ascii="맑은 고딕" w:cs="맑은 고딕" w:eastAsia="맑은 고딕" w:hAnsi="맑은 고딕"/>
          <w:b/>
          <w:bCs/>
          <w:color w:val="C00000"/>
          <w:sz w:val="20"/>
          <w:szCs w:val="20"/>
        </w:rPr>
        <w:t xml:space="preserve">✗ </w:t>
      </w:r>
      <w:r>
        <w:rPr>
          <w:rFonts w:ascii="맑은 고딕" w:cs="맑은 고딕" w:eastAsia="맑은 고딕" w:hAnsi="맑은 고딕"/>
          <w:sz w:val="20"/>
          <w:szCs w:val="20"/>
        </w:rPr>
        <w:t xml:space="preserve">세직 → </w:t>
      </w:r>
      <w:r>
        <w:rPr>
          <w:rFonts w:ascii="맑은 고딕" w:cs="맑은 고딕" w:eastAsia="맑은 고딕" w:hAnsi="맑은 고딕"/>
          <w:sz w:val="20"/>
          <w:szCs w:val="20"/>
        </w:rPr>
        <w:t xml:space="preserve">“점유자가 소유자에 대하여 소유권이전등기의 소를 제기하여 패소하였다고 하더라도 그 자체만으로 종래의 점유상태의 계속을 파괴하는 사정이 생겼다고 볼 수 없으므로 취득시효는 중단되지 않습니다.”</w:t>
      </w:r>
    </w:p>
    <w:p>
      <w:pPr>
        <w:spacing w:after="80" w:line="300"/>
        <w:ind w:left="200"/>
      </w:pPr>
      <w:r>
        <w:rPr>
          <w:rFonts w:ascii="맑은 고딕" w:cs="맑은 고딕" w:eastAsia="맑은 고딕" w:hAnsi="맑은 고딕"/>
          <w:b/>
          <w:bCs/>
          <w:color w:val="1F4E9A"/>
          <w:sz w:val="20"/>
          <w:szCs w:val="20"/>
        </w:rPr>
        <w:t xml:space="preserve">✓ </w:t>
      </w:r>
      <w:r>
        <w:rPr>
          <w:rFonts w:ascii="맑은 고딕" w:cs="맑은 고딕" w:eastAsia="맑은 고딕" w:hAnsi="맑은 고딕"/>
          <w:sz w:val="20"/>
          <w:szCs w:val="20"/>
        </w:rPr>
        <w:t xml:space="preserve">정답 → </w:t>
      </w:r>
      <w:r>
        <w:rPr>
          <w:rFonts w:ascii="맑은 고딕" w:cs="맑은 고딕" w:eastAsia="맑은 고딕" w:hAnsi="맑은 고딕"/>
          <w:sz w:val="20"/>
          <w:szCs w:val="20"/>
        </w:rPr>
        <w:t xml:space="preserve">점유자가 ‘취득시효 완성’이 아닌 ‘매매’를 원인으로 이전등기를 구하였고 소유자가 응소하여 매매 사실을 부인한 것은, 매매로 인한 이전등기청구권이 없다는 주장에 불과하고 자신의 소유권을 적극적으로 주장한 것이 아니므로 재판상 청구(민법 §168 1호)에 해당하지 않는다(대판 1997. 12. 12. 97다30288).</w:t>
      </w:r>
    </w:p>
    <w:p>
      <w:pPr>
        <w:spacing w:after="80" w:line="300"/>
        <w:ind w:left="200"/>
      </w:pPr>
      <w:r>
        <w:rPr>
          <w:rFonts w:ascii="맑은 고딕" w:cs="맑은 고딕" w:eastAsia="맑은 고딕" w:hAnsi="맑은 고딕"/>
          <w:color w:val="595959"/>
          <w:sz w:val="19"/>
          <w:szCs w:val="19"/>
        </w:rPr>
        <w:t xml:space="preserve">세직 논거(‘점유 계속 파괴 X’)는 반론3(타주점유 전환)의 논거와 섞인 것. 피고가 소유권을 적극 주장했다는 증거가 없다는 점까지 쓰면 가점.</w:t>
      </w:r>
    </w:p>
    <w:p>
      <w:pPr>
        <w:spacing w:after="80" w:line="300"/>
        <w:ind w:left="200"/>
      </w:pPr>
      <w:r>
        <w:rPr>
          <w:rFonts w:ascii="맑은 고딕" w:cs="맑은 고딕" w:eastAsia="맑은 고딕" w:hAnsi="맑은 고딕"/>
          <w:b/>
          <w:bCs/>
          <w:color w:val="7F6000"/>
          <w:sz w:val="20"/>
          <w:szCs w:val="20"/>
        </w:rPr>
        <w:t xml:space="preserve">암기 포인트: </w:t>
      </w:r>
      <w:r>
        <w:rPr>
          <w:rFonts w:ascii="맑은 고딕" w:cs="맑은 고딕" w:eastAsia="맑은 고딕" w:hAnsi="맑은 고딕"/>
          <w:sz w:val="20"/>
          <w:szCs w:val="20"/>
        </w:rPr>
        <w:t xml:space="preserve">응소 = 시효중단 요건: ① 권리자가 응소하여 ② 자기 권리(소유권)를 적극적으로 주장하고 ③ 그것이 받아들여질 것.</w:t>
      </w:r>
    </w:p>
    <w:p>
      <w:pPr>
        <w:spacing w:after="60" w:line="300"/>
      </w:pPr>
      <w:r>
        <w:rPr>
          <w:rFonts w:ascii="맑은 고딕" w:cs="맑은 고딕" w:eastAsia="맑은 고딕" w:hAnsi="맑은 고딕"/>
          <w:b/>
          <w:bCs/>
          <w:color w:val="1F3864"/>
          <w:sz w:val="20"/>
          <w:szCs w:val="20"/>
        </w:rPr>
        <w:t xml:space="preserve">A-3 타주점유 전환과 자주점유 추정 [필수]</w:t>
      </w:r>
    </w:p>
    <w:p>
      <w:pPr>
        <w:spacing w:after="80" w:line="300"/>
        <w:ind w:left="200"/>
      </w:pPr>
      <w:r>
        <w:rPr>
          <w:rFonts w:ascii="맑은 고딕" w:cs="맑은 고딕" w:eastAsia="맑은 고딕" w:hAnsi="맑은 고딕"/>
          <w:b/>
          <w:bCs/>
          <w:color w:val="C00000"/>
          <w:sz w:val="20"/>
          <w:szCs w:val="20"/>
        </w:rPr>
        <w:t xml:space="preserve">✗ </w:t>
      </w:r>
      <w:r>
        <w:rPr>
          <w:rFonts w:ascii="맑은 고딕" w:cs="맑은 고딕" w:eastAsia="맑은 고딕" w:hAnsi="맑은 고딕"/>
          <w:sz w:val="20"/>
          <w:szCs w:val="20"/>
        </w:rPr>
        <w:t xml:space="preserve">세직 → </w:t>
      </w:r>
      <w:r>
        <w:rPr>
          <w:rFonts w:ascii="맑은 고딕" w:cs="맑은 고딕" w:eastAsia="맑은 고딕" w:hAnsi="맑은 고딕"/>
          <w:sz w:val="20"/>
          <w:szCs w:val="20"/>
        </w:rPr>
        <w:t xml:space="preserve">“패소하였다고 하더라도 그 자체만으로 점유자가 소유자에 대하여 어떠한 의무가 발생하는 것이 아니므로 … 타주점유로 전환되지 않습니다.” (매수 당시 등기명의인이 따로 있었다는 주장에는 답하지 않음)</w:t>
      </w:r>
    </w:p>
    <w:p>
      <w:pPr>
        <w:spacing w:after="80" w:line="300"/>
        <w:ind w:left="200"/>
      </w:pPr>
      <w:r>
        <w:rPr>
          <w:rFonts w:ascii="맑은 고딕" w:cs="맑은 고딕" w:eastAsia="맑은 고딕" w:hAnsi="맑은 고딕"/>
          <w:b/>
          <w:bCs/>
          <w:color w:val="1F4E9A"/>
          <w:sz w:val="20"/>
          <w:szCs w:val="20"/>
        </w:rPr>
        <w:t xml:space="preserve">✓ </w:t>
      </w:r>
      <w:r>
        <w:rPr>
          <w:rFonts w:ascii="맑은 고딕" w:cs="맑은 고딕" w:eastAsia="맑은 고딕" w:hAnsi="맑은 고딕"/>
          <w:sz w:val="20"/>
          <w:szCs w:val="20"/>
        </w:rPr>
        <w:t xml:space="preserve">정답 → </w:t>
      </w:r>
      <w:r>
        <w:rPr>
          <w:rFonts w:ascii="맑은 고딕" w:cs="맑은 고딕" w:eastAsia="맑은 고딕" w:hAnsi="맑은 고딕"/>
          <w:sz w:val="20"/>
          <w:szCs w:val="20"/>
        </w:rPr>
        <w:t xml:space="preserve">점유자가 매매 등 자주점유 권원을 주장했으나 인정되지 않았다는 사유만으로 자주점유 추정이 깨지지 않는다(대판 2017. 12. 22. 2017다360, 377).</w:t>
      </w:r>
    </w:p>
    <w:p>
      <w:pPr>
        <w:spacing w:after="80" w:line="300"/>
        <w:ind w:left="200"/>
      </w:pPr>
      <w:r>
        <w:rPr>
          <w:rFonts w:ascii="맑은 고딕" w:cs="맑은 고딕" w:eastAsia="맑은 고딕" w:hAnsi="맑은 고딕"/>
          <w:b/>
          <w:bCs/>
          <w:color w:val="1F4E9A"/>
          <w:sz w:val="20"/>
          <w:szCs w:val="20"/>
        </w:rPr>
        <w:t xml:space="preserve">✓ </w:t>
      </w:r>
      <w:r>
        <w:rPr>
          <w:rFonts w:ascii="맑은 고딕" w:cs="맑은 고딕" w:eastAsia="맑은 고딕" w:hAnsi="맑은 고딕"/>
          <w:sz w:val="20"/>
          <w:szCs w:val="20"/>
        </w:rPr>
        <w:t xml:space="preserve">정답 → </w:t>
      </w:r>
      <w:r>
        <w:rPr>
          <w:rFonts w:ascii="맑은 고딕" w:cs="맑은 고딕" w:eastAsia="맑은 고딕" w:hAnsi="맑은 고딕"/>
          <w:sz w:val="20"/>
          <w:szCs w:val="20"/>
        </w:rPr>
        <w:t xml:space="preserve">매수한 토지가 타인 소유여서 등기 없이 점유했더라도, 매도인에게 처분권한이 없음을 잘 알면서 매수했다는 등 특별한 사정이 없으면 타주점유가 아니다(대판 2000. 3. 16. 97다37661).</w:t>
      </w:r>
    </w:p>
    <w:p>
      <w:pPr>
        <w:spacing w:after="80" w:line="300"/>
        <w:ind w:left="200"/>
      </w:pPr>
      <w:r>
        <w:rPr>
          <w:rFonts w:ascii="맑은 고딕" w:cs="맑은 고딕" w:eastAsia="맑은 고딕" w:hAnsi="맑은 고딕"/>
          <w:b/>
          <w:bCs/>
          <w:color w:val="7F6000"/>
          <w:sz w:val="20"/>
          <w:szCs w:val="20"/>
        </w:rPr>
        <w:t xml:space="preserve">암기 포인트: </w:t>
      </w:r>
      <w:r>
        <w:rPr>
          <w:rFonts w:ascii="맑은 고딕" w:cs="맑은 고딕" w:eastAsia="맑은 고딕" w:hAnsi="맑은 고딕"/>
          <w:sz w:val="20"/>
          <w:szCs w:val="20"/>
        </w:rPr>
        <w:t xml:space="preserve">피고 주장이 2개(패소·등기명의인 존재)면 답도 2개.</w:t>
      </w:r>
    </w:p>
    <w:p>
      <w:pPr>
        <w:spacing w:after="60" w:line="300"/>
      </w:pPr>
      <w:r>
        <w:rPr>
          <w:rFonts w:ascii="맑은 고딕" w:cs="맑은 고딕" w:eastAsia="맑은 고딕" w:hAnsi="맑은 고딕"/>
          <w:b/>
          <w:bCs/>
          <w:color w:val="1F3864"/>
          <w:sz w:val="20"/>
          <w:szCs w:val="20"/>
        </w:rPr>
        <w:t xml:space="preserve">A-4 사해행위 가액배상의 범위 [치명]</w:t>
      </w:r>
    </w:p>
    <w:p>
      <w:pPr>
        <w:spacing w:after="80" w:line="300"/>
        <w:ind w:left="200"/>
      </w:pPr>
      <w:r>
        <w:rPr>
          <w:rFonts w:ascii="맑은 고딕" w:cs="맑은 고딕" w:eastAsia="맑은 고딕" w:hAnsi="맑은 고딕"/>
          <w:b/>
          <w:bCs/>
          <w:color w:val="C00000"/>
          <w:sz w:val="20"/>
          <w:szCs w:val="20"/>
        </w:rPr>
        <w:t xml:space="preserve">✗ </w:t>
      </w:r>
      <w:r>
        <w:rPr>
          <w:rFonts w:ascii="맑은 고딕" w:cs="맑은 고딕" w:eastAsia="맑은 고딕" w:hAnsi="맑은 고딕"/>
          <w:sz w:val="20"/>
          <w:szCs w:val="20"/>
        </w:rPr>
        <w:t xml:space="preserve">세직 → </w:t>
      </w:r>
      <w:r>
        <w:rPr>
          <w:rFonts w:ascii="맑은 고딕" w:cs="맑은 고딕" w:eastAsia="맑은 고딕" w:hAnsi="맑은 고딕"/>
          <w:sz w:val="20"/>
          <w:szCs w:val="20"/>
        </w:rPr>
        <w:t xml:space="preserve">“사실심변론종결일에 청담동상가의 가액은 채권최고액 4억원을 공제하여 2억원으로 추정되고 … 수익자인 피고의 이득액은 1억원입니다.” → 1억 원 청구</w:t>
      </w:r>
    </w:p>
    <w:p>
      <w:pPr>
        <w:spacing w:after="80" w:line="300"/>
        <w:ind w:left="200"/>
      </w:pPr>
      <w:r>
        <w:rPr>
          <w:rFonts w:ascii="맑은 고딕" w:cs="맑은 고딕" w:eastAsia="맑은 고딕" w:hAnsi="맑은 고딕"/>
          <w:b/>
          <w:bCs/>
          <w:color w:val="1F4E9A"/>
          <w:sz w:val="20"/>
          <w:szCs w:val="20"/>
        </w:rPr>
        <w:t xml:space="preserve">✓ </w:t>
      </w:r>
      <w:r>
        <w:rPr>
          <w:rFonts w:ascii="맑은 고딕" w:cs="맑은 고딕" w:eastAsia="맑은 고딕" w:hAnsi="맑은 고딕"/>
          <w:sz w:val="20"/>
          <w:szCs w:val="20"/>
        </w:rPr>
        <w:t xml:space="preserve">정답 → </w:t>
      </w:r>
      <w:r>
        <w:rPr>
          <w:rFonts w:ascii="맑은 고딕" w:cs="맑은 고딕" w:eastAsia="맑은 고딕" w:hAnsi="맑은 고딕"/>
          <w:sz w:val="20"/>
          <w:szCs w:val="20"/>
        </w:rPr>
        <w:t xml:space="preserve">사해행위취소·가액배상은 취소채권자의 피보전채권액과 목적물의 공동담보가액 중 적은 금액이 한도(대판 1997. 9. 9. 97다10864). 저당권이 설정된 부동산은 가액에서 피담보채권액을 공제한 잔액 범위에서만 사해행위가 성립하고, 부동산 가액은 사실심 변론종결 시 기준(대판 2001. 12. 27. 2001다33734).</w:t>
      </w:r>
    </w:p>
    <w:p>
      <w:pPr>
        <w:spacing w:after="80" w:line="300"/>
        <w:ind w:left="200"/>
      </w:pPr>
      <w:r>
        <w:rPr>
          <w:rFonts w:ascii="맑은 고딕" w:cs="맑은 고딕" w:eastAsia="맑은 고딕" w:hAnsi="맑은 고딕"/>
          <w:b/>
          <w:bCs/>
          <w:color w:val="1F4E9A"/>
          <w:sz w:val="20"/>
          <w:szCs w:val="20"/>
        </w:rPr>
        <w:t xml:space="preserve">✓ </w:t>
      </w:r>
      <w:r>
        <w:rPr>
          <w:rFonts w:ascii="맑은 고딕" w:cs="맑은 고딕" w:eastAsia="맑은 고딕" w:hAnsi="맑은 고딕"/>
          <w:sz w:val="20"/>
          <w:szCs w:val="20"/>
        </w:rPr>
        <w:t xml:space="preserve">정답 → </w:t>
      </w:r>
      <w:r>
        <w:rPr>
          <w:rFonts w:ascii="맑은 고딕" w:cs="맑은 고딕" w:eastAsia="맑은 고딕" w:hAnsi="맑은 고딕"/>
          <w:sz w:val="20"/>
          <w:szCs w:val="20"/>
        </w:rPr>
        <w:t xml:space="preserve">현재 시가 6억 원 − 하남은행 근저당 채권최고액 4억 원(피담보채권액이 최고액 초과, 기록 21면) = 2억 원 &lt; 원고 채권 2.5억 원 + 이자 → 2억 원.</w:t>
      </w:r>
    </w:p>
    <w:p>
      <w:pPr>
        <w:spacing w:after="80" w:line="300"/>
        <w:ind w:left="200"/>
      </w:pPr>
      <w:r>
        <w:rPr>
          <w:rFonts w:ascii="맑은 고딕" w:cs="맑은 고딕" w:eastAsia="맑은 고딕" w:hAnsi="맑은 고딕"/>
          <w:color w:val="595959"/>
          <w:sz w:val="19"/>
          <w:szCs w:val="19"/>
        </w:rPr>
        <w:t xml:space="preserve">세직의 1억 원은 사해행위 당시 시가 5억 원 − 4억 원으로 보인다(기준 시점 오류). 바로 앞 문장에서 2억 원을 맞게 산출하고도 결론에서 버림.</w:t>
      </w:r>
    </w:p>
    <w:p>
      <w:pPr>
        <w:spacing w:after="80" w:line="300"/>
        <w:ind w:left="200"/>
      </w:pPr>
      <w:r>
        <w:rPr>
          <w:rFonts w:ascii="맑은 고딕" w:cs="맑은 고딕" w:eastAsia="맑은 고딕" w:hAnsi="맑은 고딕"/>
          <w:b/>
          <w:bCs/>
          <w:color w:val="7F6000"/>
          <w:sz w:val="20"/>
          <w:szCs w:val="20"/>
        </w:rPr>
        <w:t xml:space="preserve">암기 포인트: </w:t>
      </w:r>
      <w:r>
        <w:rPr>
          <w:rFonts w:ascii="맑은 고딕" w:cs="맑은 고딕" w:eastAsia="맑은 고딕" w:hAnsi="맑은 고딕"/>
          <w:sz w:val="20"/>
          <w:szCs w:val="20"/>
        </w:rPr>
        <w:t xml:space="preserve">가액배상액 = min(피보전채권액, 변론종결 시 시가 − 선순위 담보 피담보채권액). ‘수익자 이득액’은 기준이 아니다.</w:t>
      </w:r>
    </w:p>
    <w:p>
      <w:pPr>
        <w:spacing w:after="60" w:line="300"/>
      </w:pPr>
      <w:r>
        <w:rPr>
          <w:rFonts w:ascii="맑은 고딕" w:cs="맑은 고딕" w:eastAsia="맑은 고딕" w:hAnsi="맑은 고딕"/>
          <w:b/>
          <w:bCs/>
          <w:color w:val="1F3864"/>
          <w:sz w:val="20"/>
          <w:szCs w:val="20"/>
        </w:rPr>
        <w:t xml:space="preserve">A-5 원상회복 방법 — 가액배상 선택 근거 [변별]</w:t>
      </w:r>
    </w:p>
    <w:p>
      <w:pPr>
        <w:spacing w:after="80" w:line="300"/>
        <w:ind w:left="200"/>
      </w:pPr>
      <w:r>
        <w:rPr>
          <w:rFonts w:ascii="맑은 고딕" w:cs="맑은 고딕" w:eastAsia="맑은 고딕" w:hAnsi="맑은 고딕"/>
          <w:b/>
          <w:bCs/>
          <w:color w:val="C00000"/>
          <w:sz w:val="20"/>
          <w:szCs w:val="20"/>
        </w:rPr>
        <w:t xml:space="preserve">✗ </w:t>
      </w:r>
      <w:r>
        <w:rPr>
          <w:rFonts w:ascii="맑은 고딕" w:cs="맑은 고딕" w:eastAsia="맑은 고딕" w:hAnsi="맑은 고딕"/>
          <w:sz w:val="20"/>
          <w:szCs w:val="20"/>
        </w:rPr>
        <w:t xml:space="preserve">세직 → </w:t>
      </w:r>
      <w:r>
        <w:rPr>
          <w:rFonts w:ascii="맑은 고딕" w:cs="맑은 고딕" w:eastAsia="맑은 고딕" w:hAnsi="맑은 고딕"/>
          <w:sz w:val="20"/>
          <w:szCs w:val="20"/>
        </w:rPr>
        <w:t xml:space="preserve">“신만은행은 선의의 전득자인바, 가액배상의 방법에 의하여 원상회복” (결론 정확)</w:t>
      </w:r>
    </w:p>
    <w:p>
      <w:pPr>
        <w:spacing w:after="80" w:line="300"/>
        <w:ind w:left="200"/>
      </w:pPr>
      <w:r>
        <w:rPr>
          <w:rFonts w:ascii="맑은 고딕" w:cs="맑은 고딕" w:eastAsia="맑은 고딕" w:hAnsi="맑은 고딕"/>
          <w:b/>
          <w:bCs/>
          <w:color w:val="1F4E9A"/>
          <w:sz w:val="20"/>
          <w:szCs w:val="20"/>
        </w:rPr>
        <w:t xml:space="preserve">✓ </w:t>
      </w:r>
      <w:r>
        <w:rPr>
          <w:rFonts w:ascii="맑은 고딕" w:cs="맑은 고딕" w:eastAsia="맑은 고딕" w:hAnsi="맑은 고딕"/>
          <w:sz w:val="20"/>
          <w:szCs w:val="20"/>
        </w:rPr>
        <w:t xml:space="preserve">정답 → </w:t>
      </w:r>
      <w:r>
        <w:rPr>
          <w:rFonts w:ascii="맑은 고딕" w:cs="맑은 고딕" w:eastAsia="맑은 고딕" w:hAnsi="맑은 고딕"/>
          <w:sz w:val="20"/>
          <w:szCs w:val="20"/>
        </w:rPr>
        <w:t xml:space="preserve">선의 근저당권자 신만은행은 말소를 승낙할 의무가 없고, 승낙 없이는 수익자 명의 등기 말소가 불가능(부동산등기법 §57①) → 가액배상. 진정명의회복을 원인으로 한 이전등기도 가능하지만 신만은행 근저당이 남은 채 넘어와 원고에게 불리 → 가액배상 선택. 가액배상을 구하는 이상 오광현 변제금 동시이행 주장은 판단할 필요 없음.</w:t>
      </w:r>
    </w:p>
    <w:p>
      <w:pPr>
        <w:spacing w:after="80" w:line="300"/>
        <w:ind w:left="200"/>
      </w:pPr>
      <w:r>
        <w:rPr>
          <w:rFonts w:ascii="맑은 고딕" w:cs="맑은 고딕" w:eastAsia="맑은 고딕" w:hAnsi="맑은 고딕"/>
          <w:color w:val="595959"/>
          <w:sz w:val="19"/>
          <w:szCs w:val="19"/>
        </w:rPr>
        <w:t xml:space="preserve">세직의 동시이행 배척 논거(구상금 견련성 없음)는 불필요하지만 감점 사유는 아님.</w:t>
      </w:r>
    </w:p>
    <w:p>
      <w:pPr>
        <w:spacing w:after="60" w:line="300"/>
      </w:pPr>
      <w:r>
        <w:rPr>
          <w:rFonts w:ascii="맑은 고딕" w:cs="맑은 고딕" w:eastAsia="맑은 고딕" w:hAnsi="맑은 고딕"/>
          <w:b/>
          <w:bCs/>
          <w:color w:val="1F3864"/>
          <w:sz w:val="20"/>
          <w:szCs w:val="20"/>
        </w:rPr>
        <w:t xml:space="preserve">A-6 신만은행 근저당·가압류 변제액 공제 여부 [필수]</w:t>
      </w:r>
    </w:p>
    <w:p>
      <w:pPr>
        <w:spacing w:after="80" w:line="300"/>
        <w:ind w:left="200"/>
      </w:pPr>
      <w:r>
        <w:rPr>
          <w:rFonts w:ascii="맑은 고딕" w:cs="맑은 고딕" w:eastAsia="맑은 고딕" w:hAnsi="맑은 고딕"/>
          <w:b/>
          <w:bCs/>
          <w:color w:val="C00000"/>
          <w:sz w:val="20"/>
          <w:szCs w:val="20"/>
        </w:rPr>
        <w:t xml:space="preserve">✗ </w:t>
      </w:r>
      <w:r>
        <w:rPr>
          <w:rFonts w:ascii="맑은 고딕" w:cs="맑은 고딕" w:eastAsia="맑은 고딕" w:hAnsi="맑은 고딕"/>
          <w:sz w:val="20"/>
          <w:szCs w:val="20"/>
        </w:rPr>
        <w:t xml:space="preserve">세직 → </w:t>
      </w:r>
      <w:r>
        <w:rPr>
          <w:rFonts w:ascii="맑은 고딕" w:cs="맑은 고딕" w:eastAsia="맑은 고딕" w:hAnsi="맑은 고딕"/>
          <w:sz w:val="20"/>
          <w:szCs w:val="20"/>
        </w:rPr>
        <w:t xml:space="preserve">(근저당) “악의의 수익자가 … 자신의 이익을 위한 채무 부담이므로 공제해야 하는 것은 아닙니다” / (가압류) 2) “그 가압류 등기는 애초부터 일반채권자들의 공동담보의 대상이 되는 책임재산에 해당하지 않았으므로” ↔ 3) “가압류는 채권자평등의 원칙상 부동산의 담보가치에 아무런 영향을 주지 못하더라도” — 상호 모순</w:t>
      </w:r>
    </w:p>
    <w:p>
      <w:pPr>
        <w:spacing w:after="80" w:line="300"/>
        <w:ind w:left="200"/>
      </w:pPr>
      <w:r>
        <w:rPr>
          <w:rFonts w:ascii="맑은 고딕" w:cs="맑은 고딕" w:eastAsia="맑은 고딕" w:hAnsi="맑은 고딕"/>
          <w:b/>
          <w:bCs/>
          <w:color w:val="1F4E9A"/>
          <w:sz w:val="20"/>
          <w:szCs w:val="20"/>
        </w:rPr>
        <w:t xml:space="preserve">✓ </w:t>
      </w:r>
      <w:r>
        <w:rPr>
          <w:rFonts w:ascii="맑은 고딕" w:cs="맑은 고딕" w:eastAsia="맑은 고딕" w:hAnsi="맑은 고딕"/>
          <w:sz w:val="20"/>
          <w:szCs w:val="20"/>
        </w:rPr>
        <w:t xml:space="preserve">정답 → </w:t>
      </w:r>
      <w:r>
        <w:rPr>
          <w:rFonts w:ascii="맑은 고딕" w:cs="맑은 고딕" w:eastAsia="맑은 고딕" w:hAnsi="맑은 고딕"/>
          <w:sz w:val="20"/>
          <w:szCs w:val="20"/>
        </w:rPr>
        <w:t xml:space="preserve">근저당: 사해행위 후 선의의 제3자가 저당권을 취득했음을 이유로 가액배상을 명할 때는 사해행위 당시 공동담보였던 부동산 가액 전부를 배상하게 하고, 제3자 저당권의 채권최고액을 공제하지 않는다(대판 2003. 12. 12. 2003다40286, 2001. 6. 12. 99다20612).</w:t>
      </w:r>
    </w:p>
    <w:p>
      <w:pPr>
        <w:spacing w:after="80" w:line="300"/>
        <w:ind w:left="200"/>
      </w:pPr>
      <w:r>
        <w:rPr>
          <w:rFonts w:ascii="맑은 고딕" w:cs="맑은 고딕" w:eastAsia="맑은 고딕" w:hAnsi="맑은 고딕"/>
          <w:b/>
          <w:bCs/>
          <w:color w:val="1F4E9A"/>
          <w:sz w:val="20"/>
          <w:szCs w:val="20"/>
        </w:rPr>
        <w:t xml:space="preserve">✓ </w:t>
      </w:r>
      <w:r>
        <w:rPr>
          <w:rFonts w:ascii="맑은 고딕" w:cs="맑은 고딕" w:eastAsia="맑은 고딕" w:hAnsi="맑은 고딕"/>
          <w:sz w:val="20"/>
          <w:szCs w:val="20"/>
        </w:rPr>
        <w:t xml:space="preserve">정답 → </w:t>
      </w:r>
      <w:r>
        <w:rPr>
          <w:rFonts w:ascii="맑은 고딕" w:cs="맑은 고딕" w:eastAsia="맑은 고딕" w:hAnsi="맑은 고딕"/>
          <w:sz w:val="20"/>
          <w:szCs w:val="20"/>
        </w:rPr>
        <w:t xml:space="preserve">가압류: 사해행위 당시 가압류는 채권자평등 원칙상 공동담보로서 부동산 가치에 아무런 영향이 없으므로, 수익자가 사해행위 후 가압류채권을 변제해 해제시켰더라도 그 변제액을 공제하지 않는다(대판 2003. 2. 11. 2002다37474).</w:t>
      </w:r>
    </w:p>
    <w:p>
      <w:pPr>
        <w:spacing w:after="80" w:line="300"/>
        <w:ind w:left="200"/>
      </w:pPr>
      <w:r>
        <w:rPr>
          <w:rFonts w:ascii="맑은 고딕" w:cs="맑은 고딕" w:eastAsia="맑은 고딕" w:hAnsi="맑은 고딕"/>
          <w:b/>
          <w:bCs/>
          <w:color w:val="7F6000"/>
          <w:sz w:val="20"/>
          <w:szCs w:val="20"/>
        </w:rPr>
        <w:t xml:space="preserve">암기 포인트: </w:t>
      </w:r>
      <w:r>
        <w:rPr>
          <w:rFonts w:ascii="맑은 고딕" w:cs="맑은 고딕" w:eastAsia="맑은 고딕" w:hAnsi="맑은 고딕"/>
          <w:sz w:val="20"/>
          <w:szCs w:val="20"/>
        </w:rPr>
        <w:t xml:space="preserve">근저당 = 공제(사해행위 전 설정분만) / 가압류 = 공제 X(가치 불변) / 사해행위 후 선의 저당 = 공제 X(전액 배상).</w:t>
      </w:r>
    </w:p>
    <w:p>
      <w:pPr>
        <w:spacing w:after="60" w:line="300"/>
      </w:pPr>
      <w:r>
        <w:rPr>
          <w:rFonts w:ascii="맑은 고딕" w:cs="맑은 고딕" w:eastAsia="맑은 고딕" w:hAnsi="맑은 고딕"/>
          <w:b/>
          <w:bCs/>
          <w:color w:val="1F3864"/>
          <w:sz w:val="20"/>
          <w:szCs w:val="20"/>
        </w:rPr>
        <w:t xml:space="preserve">A-7 추심권능의 압류 + 2025 전합 [변별 / 현행법 부분 정답처리]</w:t>
      </w:r>
    </w:p>
    <w:p>
      <w:pPr>
        <w:spacing w:after="80" w:line="300"/>
        <w:ind w:left="200"/>
      </w:pPr>
      <w:r>
        <w:rPr>
          <w:rFonts w:ascii="맑은 고딕" w:cs="맑은 고딕" w:eastAsia="맑은 고딕" w:hAnsi="맑은 고딕"/>
          <w:b/>
          <w:bCs/>
          <w:color w:val="C00000"/>
          <w:sz w:val="20"/>
          <w:szCs w:val="20"/>
        </w:rPr>
        <w:t xml:space="preserve">✗ </w:t>
      </w:r>
      <w:r>
        <w:rPr>
          <w:rFonts w:ascii="맑은 고딕" w:cs="맑은 고딕" w:eastAsia="맑은 고딕" w:hAnsi="맑은 고딕"/>
          <w:sz w:val="20"/>
          <w:szCs w:val="20"/>
        </w:rPr>
        <w:t xml:space="preserve">세직 → </w:t>
      </w:r>
      <w:r>
        <w:rPr>
          <w:rFonts w:ascii="맑은 고딕" w:cs="맑은 고딕" w:eastAsia="맑은 고딕" w:hAnsi="맑은 고딕"/>
          <w:sz w:val="20"/>
          <w:szCs w:val="20"/>
        </w:rPr>
        <w:t xml:space="preserve">“추심명령을 받았다고 하더라도 채무자의 제3채무자에 대한 추심권능이 상실된다고 볼 법적 근거가 없고 … 추심명령이 있었더라도 채무자의 추심권능은 상실되지 않는다는 것이 최근 전합의 견해입니다.”</w:t>
      </w:r>
    </w:p>
    <w:p>
      <w:pPr>
        <w:spacing w:after="80" w:line="300"/>
        <w:ind w:left="200"/>
      </w:pPr>
      <w:r>
        <w:rPr>
          <w:rFonts w:ascii="맑은 고딕" w:cs="맑은 고딕" w:eastAsia="맑은 고딕" w:hAnsi="맑은 고딕"/>
          <w:b/>
          <w:bCs/>
          <w:color w:val="1F4E9A"/>
          <w:sz w:val="20"/>
          <w:szCs w:val="20"/>
        </w:rPr>
        <w:t xml:space="preserve">✓ </w:t>
      </w:r>
      <w:r>
        <w:rPr>
          <w:rFonts w:ascii="맑은 고딕" w:cs="맑은 고딕" w:eastAsia="맑은 고딕" w:hAnsi="맑은 고딕"/>
          <w:sz w:val="20"/>
          <w:szCs w:val="20"/>
        </w:rPr>
        <w:t xml:space="preserve">정답 → </w:t>
      </w:r>
      <w:r>
        <w:rPr>
          <w:rFonts w:ascii="맑은 고딕" w:cs="맑은 고딕" w:eastAsia="맑은 고딕" w:hAnsi="맑은 고딕"/>
          <w:sz w:val="20"/>
          <w:szCs w:val="20"/>
        </w:rPr>
        <w:t xml:space="preserve">판정: 대판(전) 2025. 10. 23. 2021다252977(추심명령·체납처분 압류가 있어도 채무자는 이행의 소 당사자적격 유지, 99다23888·2009다48879 변경)은 실재하는 판결 → 현행법 기준 논거로 인정.</w:t>
      </w:r>
    </w:p>
    <w:p>
      <w:pPr>
        <w:spacing w:after="80" w:line="300"/>
        <w:ind w:left="200"/>
      </w:pPr>
      <w:r>
        <w:rPr>
          <w:rFonts w:ascii="맑은 고딕" w:cs="맑은 고딕" w:eastAsia="맑은 고딕" w:hAnsi="맑은 고딕"/>
          <w:b/>
          <w:bCs/>
          <w:color w:val="1F4E9A"/>
          <w:sz w:val="20"/>
          <w:szCs w:val="20"/>
        </w:rPr>
        <w:t xml:space="preserve">✓ </w:t>
      </w:r>
      <w:r>
        <w:rPr>
          <w:rFonts w:ascii="맑은 고딕" w:cs="맑은 고딕" w:eastAsia="맑은 고딕" w:hAnsi="맑은 고딕"/>
          <w:sz w:val="20"/>
          <w:szCs w:val="20"/>
        </w:rPr>
        <w:t xml:space="preserve">정답 → </w:t>
      </w:r>
      <w:r>
        <w:rPr>
          <w:rFonts w:ascii="맑은 고딕" w:cs="맑은 고딕" w:eastAsia="맑은 고딕" w:hAnsi="맑은 고딕"/>
          <w:sz w:val="20"/>
          <w:szCs w:val="20"/>
        </w:rPr>
        <w:t xml:space="preserve">해설의 1차 논거 누락: 추심명령은 추심 권능만 부여하는 환가처분의 실현행위이고 채권이 압류채권자에게 이전되지 않으므로, 추심권능은 독립적으로 처분·환가할 수 없어 압류할 수 없는 성질 → 유성근의 압류·추심명령은 무효(대판 1997. 3. 14. 96다54300, 2019. 12. 12. 2019다256471).</w:t>
      </w:r>
    </w:p>
    <w:p>
      <w:pPr>
        <w:spacing w:after="80" w:line="300"/>
        <w:ind w:left="200"/>
      </w:pPr>
      <w:r>
        <w:rPr>
          <w:rFonts w:ascii="맑은 고딕" w:cs="맑은 고딕" w:eastAsia="맑은 고딕" w:hAnsi="맑은 고딕"/>
          <w:color w:val="595959"/>
          <w:sz w:val="19"/>
          <w:szCs w:val="19"/>
        </w:rPr>
        <w:t xml:space="preserve">26-10모에서 미작성이었던 2025 전합을 이번엔 인출 — 성장 신호. 두 회 연속 출제 쟁점이므로 인출카드에 고정.</w:t>
      </w:r>
    </w:p>
    <w:p>
      <w:pPr>
        <w:spacing w:after="80" w:line="300"/>
        <w:ind w:left="200"/>
      </w:pPr>
      <w:r>
        <w:rPr>
          <w:rFonts w:ascii="맑은 고딕" w:cs="맑은 고딕" w:eastAsia="맑은 고딕" w:hAnsi="맑은 고딕"/>
          <w:b/>
          <w:bCs/>
          <w:color w:val="7F6000"/>
          <w:sz w:val="20"/>
          <w:szCs w:val="20"/>
        </w:rPr>
        <w:t xml:space="preserve">암기 포인트: </w:t>
      </w:r>
      <w:r>
        <w:rPr>
          <w:rFonts w:ascii="맑은 고딕" w:cs="맑은 고딕" w:eastAsia="맑은 고딕" w:hAnsi="맑은 고딕"/>
          <w:sz w:val="20"/>
          <w:szCs w:val="20"/>
        </w:rPr>
        <w:t xml:space="preserve">두 논거 병기: “① 추심권능은 압류 대상이 아니어서 무효 ② 설령 유효해도 2025 전합에 따라 당사자적격 유지”.</w:t>
      </w:r>
    </w:p>
    <w:p>
      <w:pPr>
        <w:spacing w:after="60" w:line="300"/>
      </w:pPr>
      <w:r>
        <w:rPr>
          <w:rFonts w:ascii="맑은 고딕" w:cs="맑은 고딕" w:eastAsia="맑은 고딕" w:hAnsi="맑은 고딕"/>
          <w:b/>
          <w:bCs/>
          <w:color w:val="1F3864"/>
          <w:sz w:val="20"/>
          <w:szCs w:val="20"/>
        </w:rPr>
        <w:t xml:space="preserve">A-8 가압류 시효중단 — 재진행 기산점 [필수]</w:t>
      </w:r>
    </w:p>
    <w:p>
      <w:pPr>
        <w:spacing w:after="80" w:line="300"/>
        <w:ind w:left="200"/>
      </w:pPr>
      <w:r>
        <w:rPr>
          <w:rFonts w:ascii="맑은 고딕" w:cs="맑은 고딕" w:eastAsia="맑은 고딕" w:hAnsi="맑은 고딕"/>
          <w:b/>
          <w:bCs/>
          <w:color w:val="C00000"/>
          <w:sz w:val="20"/>
          <w:szCs w:val="20"/>
        </w:rPr>
        <w:t xml:space="preserve">✗ </w:t>
      </w:r>
      <w:r>
        <w:rPr>
          <w:rFonts w:ascii="맑은 고딕" w:cs="맑은 고딕" w:eastAsia="맑은 고딕" w:hAnsi="맑은 고딕"/>
          <w:sz w:val="20"/>
          <w:szCs w:val="20"/>
        </w:rPr>
        <w:t xml:space="preserve">세직 → </w:t>
      </w:r>
      <w:r>
        <w:rPr>
          <w:rFonts w:ascii="맑은 고딕" w:cs="맑은 고딕" w:eastAsia="맑은 고딕" w:hAnsi="맑은 고딕"/>
          <w:sz w:val="20"/>
          <w:szCs w:val="20"/>
        </w:rPr>
        <w:t xml:space="preserve">“가압류신청시로 소급하여 … 즉시 시효중단의 효력이 장래에 대하여 소멸하는 것에 불과 … 시효완성일은 2027. 1. 31.로 연기” / “2024. 2. 5. 신만은행에 송달되어 확정”</w:t>
      </w:r>
    </w:p>
    <w:p>
      <w:pPr>
        <w:spacing w:after="80" w:line="300"/>
        <w:ind w:left="200"/>
      </w:pPr>
      <w:r>
        <w:rPr>
          <w:rFonts w:ascii="맑은 고딕" w:cs="맑은 고딕" w:eastAsia="맑은 고딕" w:hAnsi="맑은 고딕"/>
          <w:b/>
          <w:bCs/>
          <w:color w:val="1F4E9A"/>
          <w:sz w:val="20"/>
          <w:szCs w:val="20"/>
        </w:rPr>
        <w:t xml:space="preserve">✓ </w:t>
      </w:r>
      <w:r>
        <w:rPr>
          <w:rFonts w:ascii="맑은 고딕" w:cs="맑은 고딕" w:eastAsia="맑은 고딕" w:hAnsi="맑은 고딕"/>
          <w:sz w:val="20"/>
          <w:szCs w:val="20"/>
        </w:rPr>
        <w:t xml:space="preserve">정답 → </w:t>
      </w:r>
      <w:r>
        <w:rPr>
          <w:rFonts w:ascii="맑은 고딕" w:cs="맑은 고딕" w:eastAsia="맑은 고딕" w:hAnsi="맑은 고딕"/>
          <w:sz w:val="20"/>
          <w:szCs w:val="20"/>
        </w:rPr>
        <w:t xml:space="preserve">피압류채권이 존재하지 않아도 가압류는 집행채권에 대한 권리 행사이므로 집행채권의 소멸시효는 중단된다(대판 2020. 11. 26. 2020다239601). 다만 송달 당시 피압류채권 발생의 기초 법률관계가 없으면 집행보전 효력이 없어, 가압류결정 송달로 개시된 집행절차는 곧바로 종료되고 시효는 그때(2024. 2. 5.)부터 새로 진행한다(대판 2023. 12. 14. 2022다210093) → 2027. 2. 5. 전 소 제기 → 항변 배척.</w:t>
      </w:r>
    </w:p>
    <w:p>
      <w:pPr>
        <w:spacing w:after="80" w:line="300"/>
        <w:ind w:left="200"/>
      </w:pPr>
      <w:r>
        <w:rPr>
          <w:rFonts w:ascii="맑은 고딕" w:cs="맑은 고딕" w:eastAsia="맑은 고딕" w:hAnsi="맑은 고딕"/>
          <w:b/>
          <w:bCs/>
          <w:color w:val="1F4E9A"/>
          <w:sz w:val="20"/>
          <w:szCs w:val="20"/>
        </w:rPr>
        <w:t xml:space="preserve">✓ </w:t>
      </w:r>
      <w:r>
        <w:rPr>
          <w:rFonts w:ascii="맑은 고딕" w:cs="맑은 고딕" w:eastAsia="맑은 고딕" w:hAnsi="맑은 고딕"/>
          <w:sz w:val="20"/>
          <w:szCs w:val="20"/>
        </w:rPr>
        <w:t xml:space="preserve">정답 → </w:t>
      </w:r>
      <w:r>
        <w:rPr>
          <w:rFonts w:ascii="맑은 고딕" w:cs="맑은 고딕" w:eastAsia="맑은 고딕" w:hAnsi="맑은 고딕"/>
          <w:sz w:val="20"/>
          <w:szCs w:val="20"/>
        </w:rPr>
        <w:t xml:space="preserve">채무자가 권리주체로서 한 시효중단 효력은 추심채권자에게도 미친다(대판 2019. 7. 25. 2019다212945) — 누락.</w:t>
      </w:r>
    </w:p>
    <w:p>
      <w:pPr>
        <w:spacing w:after="80" w:line="300"/>
        <w:ind w:left="200"/>
      </w:pPr>
      <w:r>
        <w:rPr>
          <w:rFonts w:ascii="맑은 고딕" w:cs="맑은 고딕" w:eastAsia="맑은 고딕" w:hAnsi="맑은 고딕"/>
          <w:b/>
          <w:bCs/>
          <w:color w:val="7F6000"/>
          <w:sz w:val="20"/>
          <w:szCs w:val="20"/>
        </w:rPr>
        <w:t xml:space="preserve">암기 포인트: </w:t>
      </w:r>
      <w:r>
        <w:rPr>
          <w:rFonts w:ascii="맑은 고딕" w:cs="맑은 고딕" w:eastAsia="맑은 고딕" w:hAnsi="맑은 고딕"/>
          <w:sz w:val="20"/>
          <w:szCs w:val="20"/>
        </w:rPr>
        <w:t xml:space="preserve">피압류채권 부존재 가압류 = 중단 O + 송달 시 종료 → 송달일부터 재진행. ‘확정’ 표현 금지.</w:t>
      </w:r>
    </w:p>
    <w:p>
      <w:pPr>
        <w:spacing w:after="60" w:line="300"/>
      </w:pPr>
      <w:r>
        <w:rPr>
          <w:rFonts w:ascii="맑은 고딕" w:cs="맑은 고딕" w:eastAsia="맑은 고딕" w:hAnsi="맑은 고딕"/>
          <w:b/>
          <w:bCs/>
          <w:color w:val="1F3864"/>
          <w:sz w:val="20"/>
          <w:szCs w:val="20"/>
        </w:rPr>
        <w:t xml:space="preserve">A-9 공동임차인 보증금반환채권 = 불가분채권 [필수]</w:t>
      </w:r>
    </w:p>
    <w:p>
      <w:pPr>
        <w:spacing w:after="80" w:line="300"/>
        <w:ind w:left="200"/>
      </w:pPr>
      <w:r>
        <w:rPr>
          <w:rFonts w:ascii="맑은 고딕" w:cs="맑은 고딕" w:eastAsia="맑은 고딕" w:hAnsi="맑은 고딕"/>
          <w:b/>
          <w:bCs/>
          <w:color w:val="C00000"/>
          <w:sz w:val="20"/>
          <w:szCs w:val="20"/>
        </w:rPr>
        <w:t xml:space="preserve">✗ </w:t>
      </w:r>
      <w:r>
        <w:rPr>
          <w:rFonts w:ascii="맑은 고딕" w:cs="맑은 고딕" w:eastAsia="맑은 고딕" w:hAnsi="맑은 고딕"/>
          <w:sz w:val="20"/>
          <w:szCs w:val="20"/>
        </w:rPr>
        <w:t xml:space="preserve">세직 → </w:t>
      </w:r>
      <w:r>
        <w:rPr>
          <w:rFonts w:ascii="맑은 고딕" w:cs="맑은 고딕" w:eastAsia="맑은 고딕" w:hAnsi="맑은 고딕"/>
          <w:sz w:val="20"/>
          <w:szCs w:val="20"/>
        </w:rPr>
        <w:t xml:space="preserve">“보증금반환채무는 대표적인 불가분채무로서 피고는 김현종에 대하여 … 3억원 전부를 반환할 의무”</w:t>
      </w:r>
    </w:p>
    <w:p>
      <w:pPr>
        <w:spacing w:after="80" w:line="300"/>
        <w:ind w:left="200"/>
      </w:pPr>
      <w:r>
        <w:rPr>
          <w:rFonts w:ascii="맑은 고딕" w:cs="맑은 고딕" w:eastAsia="맑은 고딕" w:hAnsi="맑은 고딕"/>
          <w:b/>
          <w:bCs/>
          <w:color w:val="1F4E9A"/>
          <w:sz w:val="20"/>
          <w:szCs w:val="20"/>
        </w:rPr>
        <w:t xml:space="preserve">✓ </w:t>
      </w:r>
      <w:r>
        <w:rPr>
          <w:rFonts w:ascii="맑은 고딕" w:cs="맑은 고딕" w:eastAsia="맑은 고딕" w:hAnsi="맑은 고딕"/>
          <w:sz w:val="20"/>
          <w:szCs w:val="20"/>
        </w:rPr>
        <w:t xml:space="preserve">정답 → </w:t>
      </w:r>
      <w:r>
        <w:rPr>
          <w:rFonts w:ascii="맑은 고딕" w:cs="맑은 고딕" w:eastAsia="맑은 고딕" w:hAnsi="맑은 고딕"/>
          <w:sz w:val="20"/>
          <w:szCs w:val="20"/>
        </w:rPr>
        <w:t xml:space="preserve">공동임차인이 임대차계약상 권리·의무를 공동으로 부담하기로 약정한 경우 보증금반환채권은 불가분채권 → 각 채권자는 채무자에게 전부의 이행을 청구할 수 있다(민법 §409, 대판 2021. 10. 28. 2021다238650, 2023. 3. 30. 2021다264253, 2012. 3. 29. 2011다95861).</w:t>
      </w:r>
    </w:p>
    <w:p>
      <w:pPr>
        <w:spacing w:after="80" w:line="300"/>
        <w:ind w:left="200"/>
      </w:pPr>
      <w:r>
        <w:rPr>
          <w:rFonts w:ascii="맑은 고딕" w:cs="맑은 고딕" w:eastAsia="맑은 고딕" w:hAnsi="맑은 고딕"/>
          <w:b/>
          <w:bCs/>
          <w:color w:val="7F6000"/>
          <w:sz w:val="20"/>
          <w:szCs w:val="20"/>
        </w:rPr>
        <w:t xml:space="preserve">암기 포인트: </w:t>
      </w:r>
      <w:r>
        <w:rPr>
          <w:rFonts w:ascii="맑은 고딕" w:cs="맑은 고딕" w:eastAsia="맑은 고딕" w:hAnsi="맑은 고딕"/>
          <w:sz w:val="20"/>
          <w:szCs w:val="20"/>
        </w:rPr>
        <w:t xml:space="preserve">‘대표적’ X(약정에 따른 결과) / 원고 측이 행사하는 것은 불가분‘채권’. 청구원인 피대위채권 단락 말미에 배치(반론에서만 쓰지 말 것).</w:t>
      </w:r>
    </w:p>
    <w:p>
      <w:pPr>
        <w:spacing w:after="60" w:line="300"/>
      </w:pPr>
      <w:r>
        <w:rPr>
          <w:rFonts w:ascii="맑은 고딕" w:cs="맑은 고딕" w:eastAsia="맑은 고딕" w:hAnsi="맑은 고딕"/>
          <w:b/>
          <w:bCs/>
          <w:color w:val="1F3864"/>
          <w:sz w:val="20"/>
          <w:szCs w:val="20"/>
        </w:rPr>
        <w:t xml:space="preserve">A-10 공동임차인 1인의 대항요건 [필수]</w:t>
      </w:r>
    </w:p>
    <w:p>
      <w:pPr>
        <w:spacing w:after="80" w:line="300"/>
        <w:ind w:left="200"/>
      </w:pPr>
      <w:r>
        <w:rPr>
          <w:rFonts w:ascii="맑은 고딕" w:cs="맑은 고딕" w:eastAsia="맑은 고딕" w:hAnsi="맑은 고딕"/>
          <w:b/>
          <w:bCs/>
          <w:color w:val="C00000"/>
          <w:sz w:val="20"/>
          <w:szCs w:val="20"/>
        </w:rPr>
        <w:t xml:space="preserve">✗ </w:t>
      </w:r>
      <w:r>
        <w:rPr>
          <w:rFonts w:ascii="맑은 고딕" w:cs="맑은 고딕" w:eastAsia="맑은 고딕" w:hAnsi="맑은 고딕"/>
          <w:sz w:val="20"/>
          <w:szCs w:val="20"/>
        </w:rPr>
        <w:t xml:space="preserve">세직 → </w:t>
      </w:r>
      <w:r>
        <w:rPr>
          <w:rFonts w:ascii="맑은 고딕" w:cs="맑은 고딕" w:eastAsia="맑은 고딕" w:hAnsi="맑은 고딕"/>
          <w:sz w:val="20"/>
          <w:szCs w:val="20"/>
        </w:rPr>
        <w:t xml:space="preserve">“하재균과 김현종은 동업관계에 있으므로 하재균의 명의로만 사업자등록을 하였다고 하더라도 김현종 또한 당연히 대항력을 취득”</w:t>
      </w:r>
    </w:p>
    <w:p>
      <w:pPr>
        <w:spacing w:after="80" w:line="300"/>
        <w:ind w:left="200"/>
      </w:pPr>
      <w:r>
        <w:rPr>
          <w:rFonts w:ascii="맑은 고딕" w:cs="맑은 고딕" w:eastAsia="맑은 고딕" w:hAnsi="맑은 고딕"/>
          <w:b/>
          <w:bCs/>
          <w:color w:val="1F4E9A"/>
          <w:sz w:val="20"/>
          <w:szCs w:val="20"/>
        </w:rPr>
        <w:t xml:space="preserve">✓ </w:t>
      </w:r>
      <w:r>
        <w:rPr>
          <w:rFonts w:ascii="맑은 고딕" w:cs="맑은 고딕" w:eastAsia="맑은 고딕" w:hAnsi="맑은 고딕"/>
          <w:sz w:val="20"/>
          <w:szCs w:val="20"/>
        </w:rPr>
        <w:t xml:space="preserve">정답 → </w:t>
      </w:r>
      <w:r>
        <w:rPr>
          <w:rFonts w:ascii="맑은 고딕" w:cs="맑은 고딕" w:eastAsia="맑은 고딕" w:hAnsi="맑은 고딕"/>
          <w:sz w:val="20"/>
          <w:szCs w:val="20"/>
        </w:rPr>
        <w:t xml:space="preserve">공동임차인 중 1인이라도 대항요건(상가건물 임대차보호법 §3①: 인도 + 사업자등록)을 갖추면 그 대항력은 임대차 전체에 미치므로, 건물 양도 시 공동임차인에 대한 보증금반환채무 전부가 양수인에게 이전된다(주택 법리의 상가 적용, 대판 2021. 10. 28. 2021다238650).</w:t>
      </w:r>
    </w:p>
    <w:p>
      <w:pPr>
        <w:spacing w:after="80" w:line="300"/>
        <w:ind w:left="200"/>
      </w:pPr>
      <w:r>
        <w:rPr>
          <w:rFonts w:ascii="맑은 고딕" w:cs="맑은 고딕" w:eastAsia="맑은 고딕" w:hAnsi="맑은 고딕"/>
          <w:color w:val="595959"/>
          <w:sz w:val="19"/>
          <w:szCs w:val="19"/>
        </w:rPr>
        <w:t xml:space="preserve">‘동업관계’는 기록에 없는 사실 — 작성요령 7호(기재되지 않은 사실은 없는 것으로 전제) 위반 소지.</w:t>
      </w:r>
    </w:p>
    <w:p>
      <w:pPr>
        <w:spacing w:after="60" w:line="300"/>
      </w:pPr>
      <w:r>
        <w:rPr>
          <w:rFonts w:ascii="맑은 고딕" w:cs="맑은 고딕" w:eastAsia="맑은 고딕" w:hAnsi="맑은 고딕"/>
          <w:b/>
          <w:bCs/>
          <w:color w:val="1F3864"/>
          <w:sz w:val="20"/>
          <w:szCs w:val="20"/>
        </w:rPr>
        <w:t xml:space="preserve">A-11 불가분채권자 1인에 대한 변제·공제합의·전부명령 [필수]</w:t>
      </w:r>
    </w:p>
    <w:p>
      <w:pPr>
        <w:spacing w:after="80" w:line="300"/>
        <w:ind w:left="200"/>
      </w:pPr>
      <w:r>
        <w:rPr>
          <w:rFonts w:ascii="맑은 고딕" w:cs="맑은 고딕" w:eastAsia="맑은 고딕" w:hAnsi="맑은 고딕"/>
          <w:b/>
          <w:bCs/>
          <w:color w:val="C00000"/>
          <w:sz w:val="20"/>
          <w:szCs w:val="20"/>
        </w:rPr>
        <w:t xml:space="preserve">✗ </w:t>
      </w:r>
      <w:r>
        <w:rPr>
          <w:rFonts w:ascii="맑은 고딕" w:cs="맑은 고딕" w:eastAsia="맑은 고딕" w:hAnsi="맑은 고딕"/>
          <w:sz w:val="20"/>
          <w:szCs w:val="20"/>
        </w:rPr>
        <w:t xml:space="preserve">세직 → </w:t>
      </w:r>
      <w:r>
        <w:rPr>
          <w:rFonts w:ascii="맑은 고딕" w:cs="맑은 고딕" w:eastAsia="맑은 고딕" w:hAnsi="맑은 고딕"/>
          <w:sz w:val="20"/>
          <w:szCs w:val="20"/>
        </w:rPr>
        <w:t xml:space="preserve">변제 2,500만 원 공제(근거 없음) / 공제합의 “상대적 효력만이 있을 뿐” / 전부명령 “김현종에 대하여는 변제의 효력이 발생하지 않습니다”</w:t>
      </w:r>
    </w:p>
    <w:p>
      <w:pPr>
        <w:spacing w:after="80" w:line="300"/>
        <w:ind w:left="200"/>
      </w:pPr>
      <w:r>
        <w:rPr>
          <w:rFonts w:ascii="맑은 고딕" w:cs="맑은 고딕" w:eastAsia="맑은 고딕" w:hAnsi="맑은 고딕"/>
          <w:b/>
          <w:bCs/>
          <w:color w:val="1F4E9A"/>
          <w:sz w:val="20"/>
          <w:szCs w:val="20"/>
        </w:rPr>
        <w:t xml:space="preserve">✓ </w:t>
      </w:r>
      <w:r>
        <w:rPr>
          <w:rFonts w:ascii="맑은 고딕" w:cs="맑은 고딕" w:eastAsia="맑은 고딕" w:hAnsi="맑은 고딕"/>
          <w:sz w:val="20"/>
          <w:szCs w:val="20"/>
        </w:rPr>
        <w:t xml:space="preserve">정답 → </w:t>
      </w:r>
      <w:r>
        <w:rPr>
          <w:rFonts w:ascii="맑은 고딕" w:cs="맑은 고딕" w:eastAsia="맑은 고딕" w:hAnsi="맑은 고딕"/>
          <w:sz w:val="20"/>
          <w:szCs w:val="20"/>
        </w:rPr>
        <w:t xml:space="preserve">변제: 불가분채권의 채무자는 모든 채권자를 위하여 각 채권자에게 이행할 수 있다(§409) → 하재균에게 한 2,500만 원 변제는 김현종에게도 효력.</w:t>
      </w:r>
    </w:p>
    <w:p>
      <w:pPr>
        <w:spacing w:after="80" w:line="300"/>
        <w:ind w:left="200"/>
      </w:pPr>
      <w:r>
        <w:rPr>
          <w:rFonts w:ascii="맑은 고딕" w:cs="맑은 고딕" w:eastAsia="맑은 고딕" w:hAnsi="맑은 고딕"/>
          <w:b/>
          <w:bCs/>
          <w:color w:val="1F4E9A"/>
          <w:sz w:val="20"/>
          <w:szCs w:val="20"/>
        </w:rPr>
        <w:t xml:space="preserve">✓ </w:t>
      </w:r>
      <w:r>
        <w:rPr>
          <w:rFonts w:ascii="맑은 고딕" w:cs="맑은 고딕" w:eastAsia="맑은 고딕" w:hAnsi="맑은 고딕"/>
          <w:sz w:val="20"/>
          <w:szCs w:val="20"/>
        </w:rPr>
        <w:t xml:space="preserve">정답 → </w:t>
      </w:r>
      <w:r>
        <w:rPr>
          <w:rFonts w:ascii="맑은 고딕" w:cs="맑은 고딕" w:eastAsia="맑은 고딕" w:hAnsi="맑은 고딕"/>
          <w:sz w:val="20"/>
          <w:szCs w:val="20"/>
        </w:rPr>
        <w:t xml:space="preserve">연체차임: 300만 원 × 40개월 = 1억 2,000만 원. 양수인의 승계 전 연체차임도 보증금에서 당연 공제(대판 2017. 3. 22. 2016다218874), 존속 중 시효완성 차임도 §495 유추로 공제 가능(대판 2016. 11. 25. 2016다211309).</w:t>
      </w:r>
    </w:p>
    <w:p>
      <w:pPr>
        <w:spacing w:after="80" w:line="300"/>
        <w:ind w:left="200"/>
      </w:pPr>
      <w:r>
        <w:rPr>
          <w:rFonts w:ascii="맑은 고딕" w:cs="맑은 고딕" w:eastAsia="맑은 고딕" w:hAnsi="맑은 고딕"/>
          <w:b/>
          <w:bCs/>
          <w:color w:val="1F4E9A"/>
          <w:sz w:val="20"/>
          <w:szCs w:val="20"/>
        </w:rPr>
        <w:t xml:space="preserve">✓ </w:t>
      </w:r>
      <w:r>
        <w:rPr>
          <w:rFonts w:ascii="맑은 고딕" w:cs="맑은 고딕" w:eastAsia="맑은 고딕" w:hAnsi="맑은 고딕"/>
          <w:sz w:val="20"/>
          <w:szCs w:val="20"/>
        </w:rPr>
        <w:t xml:space="preserve">정답 → </w:t>
      </w:r>
      <w:r>
        <w:rPr>
          <w:rFonts w:ascii="맑은 고딕" w:cs="맑은 고딕" w:eastAsia="맑은 고딕" w:hAnsi="맑은 고딕"/>
          <w:sz w:val="20"/>
          <w:szCs w:val="20"/>
        </w:rPr>
        <w:t xml:space="preserve">공제합의: 유하식품 채무 1억 원·차용금 5,500만 원은 임대차와 직접 관련 없는 식당 운영 채무 → 별도 합의 없으면 보증금으로 담보되지 않음 + 하재균이 김현종 관여 없이 단독 합의 → 김현종에게 효력 없음(2021다264253).</w:t>
      </w:r>
    </w:p>
    <w:p>
      <w:pPr>
        <w:spacing w:after="80" w:line="300"/>
        <w:ind w:left="200"/>
      </w:pPr>
      <w:r>
        <w:rPr>
          <w:rFonts w:ascii="맑은 고딕" w:cs="맑은 고딕" w:eastAsia="맑은 고딕" w:hAnsi="맑은 고딕"/>
          <w:b/>
          <w:bCs/>
          <w:color w:val="1F4E9A"/>
          <w:sz w:val="20"/>
          <w:szCs w:val="20"/>
        </w:rPr>
        <w:t xml:space="preserve">✓ </w:t>
      </w:r>
      <w:r>
        <w:rPr>
          <w:rFonts w:ascii="맑은 고딕" w:cs="맑은 고딕" w:eastAsia="맑은 고딕" w:hAnsi="맑은 고딕"/>
          <w:sz w:val="20"/>
          <w:szCs w:val="20"/>
        </w:rPr>
        <w:t xml:space="preserve">정답 → </w:t>
      </w:r>
      <w:r>
        <w:rPr>
          <w:rFonts w:ascii="맑은 고딕" w:cs="맑은 고딕" w:eastAsia="맑은 고딕" w:hAnsi="맑은 고딕"/>
          <w:sz w:val="20"/>
          <w:szCs w:val="20"/>
        </w:rPr>
        <w:t xml:space="preserve">전부명령: 불가분채권자 1인을 집행채무자로 한 압류·전부명령은 그 채권자의 채권만 이전시키고, 다른 불가분채권자에게는 효력이 없다. 금전채권 일부에 대한 전부명령도 같다(2021다264253). ‘변제’의 문제가 아니라 ‘효력 범위’의 문제.</w:t>
      </w:r>
    </w:p>
    <w:p>
      <w:pPr>
        <w:spacing w:after="80" w:line="300"/>
        <w:ind w:left="200"/>
      </w:pPr>
      <w:r>
        <w:rPr>
          <w:rFonts w:ascii="맑은 고딕" w:cs="맑은 고딕" w:eastAsia="맑은 고딕" w:hAnsi="맑은 고딕"/>
          <w:b/>
          <w:bCs/>
          <w:color w:val="7F6000"/>
          <w:sz w:val="20"/>
          <w:szCs w:val="20"/>
        </w:rPr>
        <w:t xml:space="preserve">암기 포인트: </w:t>
      </w:r>
      <w:r>
        <w:rPr>
          <w:rFonts w:ascii="맑은 고딕" w:cs="맑은 고딕" w:eastAsia="맑은 고딕" w:hAnsi="맑은 고딕"/>
          <w:sz w:val="20"/>
          <w:szCs w:val="20"/>
        </w:rPr>
        <w:t xml:space="preserve">불가분채권: 변제(이행)는 절대효 / 그 외(공제합의·전부명령)는 상대효.</w:t>
      </w:r>
    </w:p>
    <w:p>
      <w:pPr>
        <w:spacing w:after="60" w:line="300"/>
      </w:pPr>
      <w:r>
        <w:rPr>
          <w:rFonts w:ascii="맑은 고딕" w:cs="맑은 고딕" w:eastAsia="맑은 고딕" w:hAnsi="맑은 고딕"/>
          <w:b/>
          <w:bCs/>
          <w:color w:val="1F3864"/>
          <w:sz w:val="20"/>
          <w:szCs w:val="20"/>
        </w:rPr>
        <w:t xml:space="preserve">A-12 상사법정이율의 근거 [필수]</w:t>
      </w:r>
    </w:p>
    <w:p>
      <w:pPr>
        <w:spacing w:after="80" w:line="300"/>
        <w:ind w:left="200"/>
      </w:pPr>
      <w:r>
        <w:rPr>
          <w:rFonts w:ascii="맑은 고딕" w:cs="맑은 고딕" w:eastAsia="맑은 고딕" w:hAnsi="맑은 고딕"/>
          <w:b/>
          <w:bCs/>
          <w:color w:val="C00000"/>
          <w:sz w:val="20"/>
          <w:szCs w:val="20"/>
        </w:rPr>
        <w:t xml:space="preserve">✗ </w:t>
      </w:r>
      <w:r>
        <w:rPr>
          <w:rFonts w:ascii="맑은 고딕" w:cs="맑은 고딕" w:eastAsia="맑은 고딕" w:hAnsi="맑은 고딕"/>
          <w:sz w:val="20"/>
          <w:szCs w:val="20"/>
        </w:rPr>
        <w:t xml:space="preserve">세직 → </w:t>
      </w:r>
      <w:r>
        <w:rPr>
          <w:rFonts w:ascii="맑은 고딕" w:cs="맑은 고딕" w:eastAsia="맑은 고딕" w:hAnsi="맑은 고딕"/>
          <w:sz w:val="20"/>
          <w:szCs w:val="20"/>
        </w:rPr>
        <w:t xml:space="preserve">③ 근거로 ‘상인인 아이에스티건설’만 기재 / ④ 근거 없이 연 6%(원인)·연 12%(취지)</w:t>
      </w:r>
    </w:p>
    <w:p>
      <w:pPr>
        <w:spacing w:after="80" w:line="300"/>
        <w:ind w:left="200"/>
      </w:pPr>
      <w:r>
        <w:rPr>
          <w:rFonts w:ascii="맑은 고딕" w:cs="맑은 고딕" w:eastAsia="맑은 고딕" w:hAnsi="맑은 고딕"/>
          <w:b/>
          <w:bCs/>
          <w:color w:val="1F4E9A"/>
          <w:sz w:val="20"/>
          <w:szCs w:val="20"/>
        </w:rPr>
        <w:t xml:space="preserve">✓ </w:t>
      </w:r>
      <w:r>
        <w:rPr>
          <w:rFonts w:ascii="맑은 고딕" w:cs="맑은 고딕" w:eastAsia="맑은 고딕" w:hAnsi="맑은 고딕"/>
          <w:sz w:val="20"/>
          <w:szCs w:val="20"/>
        </w:rPr>
        <w:t xml:space="preserve">정답 → </w:t>
      </w:r>
      <w:r>
        <w:rPr>
          <w:rFonts w:ascii="맑은 고딕" w:cs="맑은 고딕" w:eastAsia="맑은 고딕" w:hAnsi="맑은 고딕"/>
          <w:sz w:val="20"/>
          <w:szCs w:val="20"/>
        </w:rPr>
        <w:t xml:space="preserve">③ 회사(상인)의 공사도급 → 상행위 → 상법 §54 연 6%. ④ 김현종·하재균은 음식점 영업을 위하여 임대차를 체결 → 보조적 상행위(상법 §47①), 일방적 상행위로 인한 채권에도 상사법정이율 적용(대판 2000. 10. 27. 99다10189).</w:t>
      </w:r>
    </w:p>
    <w:p>
      <w:pPr>
        <w:spacing w:after="80" w:line="300"/>
        <w:ind w:left="200"/>
      </w:pPr>
      <w:r>
        <w:rPr>
          <w:rFonts w:ascii="맑은 고딕" w:cs="맑은 고딕" w:eastAsia="맑은 고딕" w:hAnsi="맑은 고딕"/>
          <w:b/>
          <w:bCs/>
          <w:color w:val="7F6000"/>
          <w:sz w:val="20"/>
          <w:szCs w:val="20"/>
        </w:rPr>
        <w:t xml:space="preserve">암기 포인트: </w:t>
      </w:r>
      <w:r>
        <w:rPr>
          <w:rFonts w:ascii="맑은 고딕" w:cs="맑은 고딕" w:eastAsia="맑은 고딕" w:hAnsi="맑은 고딕"/>
          <w:sz w:val="20"/>
          <w:szCs w:val="20"/>
        </w:rPr>
        <w:t xml:space="preserve">연 6%를 쓸 때마다 “누가 상인이고 왜 상행위인가” 1줄.</w:t>
      </w:r>
    </w:p>
    <w:p>
      <w:pPr>
        <w:pStyle w:val="Heading3"/>
        <w:spacing w:after="120" w:before="240"/>
      </w:pPr>
      <w:r>
        <w:rPr>
          <w:rFonts w:ascii="맑은 고딕" w:cs="맑은 고딕" w:eastAsia="맑은 고딕" w:hAnsi="맑은 고딕"/>
          <w:b/>
          <w:bCs/>
          <w:color w:val="2E3B4E"/>
          <w:sz w:val="22"/>
          <w:szCs w:val="22"/>
        </w:rPr>
        <w:t xml:space="preserve">【3-B】 청구원인 누락 요소 대조 (기능: ① 청구권 발생 ② 항변 선제 차단 ③ 청구취지 문언 정당화)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57"/>
        <w:gridCol w:w="1752"/>
        <w:gridCol w:w="2629"/>
      </w:tblGrid>
      <w:tr>
        <w:trPr>
          <w:tblHeader/>
        </w:trPr>
        <w:tc>
          <w:tcPr>
            <w:tcW w:type="dxa" w:w="5257"/>
            <w:shd w:fill="D9E2F3" w:color="auto" w:val="clear"/>
            <w:tcMar>
              <w:top w:type="dxa" w:w="60"/>
              <w:left w:type="dxa" w:w="90"/>
              <w:bottom w:type="dxa" w:w="60"/>
              <w:right w:type="dxa" w:w="90"/>
            </w:tcMar>
          </w:tcPr>
          <w:p>
            <w:pPr>
              <w:spacing w:after="20" w:line="270"/>
            </w:pPr>
            <w:r>
              <w:rPr>
                <w:rFonts w:ascii="맑은 고딕" w:cs="맑은 고딕" w:eastAsia="맑은 고딕" w:hAnsi="맑은 고딕"/>
                <w:b/>
                <w:bCs/>
                <w:sz w:val="18"/>
                <w:szCs w:val="18"/>
              </w:rPr>
              <w:t xml:space="preserve">모범답안 요소</w:t>
            </w:r>
          </w:p>
        </w:tc>
        <w:tc>
          <w:tcPr>
            <w:tcW w:type="dxa" w:w="1752"/>
            <w:shd w:fill="D9E2F3" w:color="auto" w:val="clear"/>
            <w:tcMar>
              <w:top w:type="dxa" w:w="60"/>
              <w:left w:type="dxa" w:w="90"/>
              <w:bottom w:type="dxa" w:w="60"/>
              <w:right w:type="dxa" w:w="90"/>
            </w:tcMar>
          </w:tcPr>
          <w:p>
            <w:pPr>
              <w:spacing w:after="20" w:line="270"/>
            </w:pPr>
            <w:r>
              <w:rPr>
                <w:rFonts w:ascii="맑은 고딕" w:cs="맑은 고딕" w:eastAsia="맑은 고딕" w:hAnsi="맑은 고딕"/>
                <w:b/>
                <w:bCs/>
                <w:sz w:val="18"/>
                <w:szCs w:val="18"/>
              </w:rPr>
              <w:t xml:space="preserve">세직</w:t>
            </w:r>
          </w:p>
        </w:tc>
        <w:tc>
          <w:tcPr>
            <w:tcW w:type="dxa" w:w="2629"/>
            <w:shd w:fill="D9E2F3" w:color="auto" w:val="clear"/>
            <w:tcMar>
              <w:top w:type="dxa" w:w="60"/>
              <w:left w:type="dxa" w:w="90"/>
              <w:bottom w:type="dxa" w:w="60"/>
              <w:right w:type="dxa" w:w="90"/>
            </w:tcMar>
          </w:tcPr>
          <w:p>
            <w:pPr>
              <w:spacing w:after="20" w:line="270"/>
            </w:pPr>
            <w:r>
              <w:rPr>
                <w:rFonts w:ascii="맑은 고딕" w:cs="맑은 고딕" w:eastAsia="맑은 고딕" w:hAnsi="맑은 고딕"/>
                <w:b/>
                <w:bCs/>
                <w:sz w:val="18"/>
                <w:szCs w:val="18"/>
              </w:rPr>
              <w:t xml:space="preserve">기능</w:t>
            </w:r>
          </w:p>
        </w:tc>
      </w:tr>
      <w:tr>
        <w:trPr>
          <w:tblHeader w:val="off"/>
        </w:trPr>
        <w:tc>
          <w:tcPr>
            <w:tcW w:type="dxa" w:w="5257"/>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① 박인천 → 박철수(1982. 1. 31.) → 박만수(2004. 3. 4.) → 박종범(2014. 1. 1.) 순차 매수·점유 승계</w:t>
            </w:r>
          </w:p>
        </w:tc>
        <w:tc>
          <w:tcPr>
            <w:tcW w:type="dxa" w:w="1752"/>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 박종범만</w:t>
            </w:r>
          </w:p>
        </w:tc>
        <w:tc>
          <w:tcPr>
            <w:tcW w:type="dxa" w:w="2629"/>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① 20년 점유 요건</w:t>
            </w:r>
          </w:p>
        </w:tc>
      </w:tr>
      <w:tr>
        <w:trPr>
          <w:tblHeader w:val="off"/>
        </w:trPr>
        <w:tc>
          <w:tcPr>
            <w:tcW w:type="dxa" w:w="5257"/>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① 자주·선의·평온·공연 점유 추정(§197①)</w:t>
            </w:r>
          </w:p>
        </w:tc>
        <w:tc>
          <w:tcPr>
            <w:tcW w:type="dxa" w:w="1752"/>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w:t>
            </w:r>
          </w:p>
        </w:tc>
        <w:tc>
          <w:tcPr>
            <w:tcW w:type="dxa" w:w="2629"/>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① 요건사실 증명책임</w:t>
            </w:r>
          </w:p>
        </w:tc>
      </w:tr>
      <w:tr>
        <w:trPr>
          <w:tblHeader w:val="off"/>
        </w:trPr>
        <w:tc>
          <w:tcPr>
            <w:tcW w:type="dxa" w:w="5257"/>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① 박민호 상속등기 → 오우석 2023. 9. 1. 매수·등기</w:t>
            </w:r>
          </w:p>
        </w:tc>
        <w:tc>
          <w:tcPr>
            <w:tcW w:type="dxa" w:w="1752"/>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 매수만</w:t>
            </w:r>
          </w:p>
        </w:tc>
        <w:tc>
          <w:tcPr>
            <w:tcW w:type="dxa" w:w="2629"/>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① 완성 당시 소유자 = 피고</w:t>
            </w:r>
          </w:p>
        </w:tc>
      </w:tr>
      <w:tr>
        <w:trPr>
          <w:tblHeader w:val="off"/>
        </w:trPr>
        <w:tc>
          <w:tcPr>
            <w:tcW w:type="dxa" w:w="5257"/>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① 채권양도 통지 2024. 6. 9. 피고 도달</w:t>
            </w:r>
          </w:p>
        </w:tc>
        <w:tc>
          <w:tcPr>
            <w:tcW w:type="dxa" w:w="1752"/>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 양수만</w:t>
            </w:r>
          </w:p>
        </w:tc>
        <w:tc>
          <w:tcPr>
            <w:tcW w:type="dxa" w:w="2629"/>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② 반론4(양도 제한)의 전제</w:t>
            </w:r>
          </w:p>
        </w:tc>
      </w:tr>
      <w:tr>
        <w:trPr>
          <w:tblHeader w:val="off"/>
        </w:trPr>
        <w:tc>
          <w:tcPr>
            <w:tcW w:type="dxa" w:w="5257"/>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② 사해행위 당시 채무(원고 2.5억·박교창 5억·하남은행 4억·오광현 5천만) vs 적극재산 시가 5억 원뿐</w:t>
            </w:r>
          </w:p>
        </w:tc>
        <w:tc>
          <w:tcPr>
            <w:tcW w:type="dxa" w:w="1752"/>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 일부</w:t>
            </w:r>
          </w:p>
        </w:tc>
        <w:tc>
          <w:tcPr>
            <w:tcW w:type="dxa" w:w="2629"/>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① 채무초과</w:t>
            </w:r>
          </w:p>
        </w:tc>
      </w:tr>
      <w:tr>
        <w:trPr>
          <w:tblHeader w:val="off"/>
        </w:trPr>
        <w:tc>
          <w:tcPr>
            <w:tcW w:type="dxa" w:w="5257"/>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② 부동산등기법 §57①(선의 근저당권자 승낙 의무 X)</w:t>
            </w:r>
          </w:p>
        </w:tc>
        <w:tc>
          <w:tcPr>
            <w:tcW w:type="dxa" w:w="1752"/>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w:t>
            </w:r>
          </w:p>
        </w:tc>
        <w:tc>
          <w:tcPr>
            <w:tcW w:type="dxa" w:w="2629"/>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③ 가액배상 선택 근거</w:t>
            </w:r>
          </w:p>
        </w:tc>
      </w:tr>
      <w:tr>
        <w:trPr>
          <w:tblHeader w:val="off"/>
        </w:trPr>
        <w:tc>
          <w:tcPr>
            <w:tcW w:type="dxa" w:w="5257"/>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② 소결론: 2억 원 한도 취소 + 2억 원 + 판결확정 다음 날부터 연 5%</w:t>
            </w:r>
          </w:p>
        </w:tc>
        <w:tc>
          <w:tcPr>
            <w:tcW w:type="dxa" w:w="1752"/>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 1억</w:t>
            </w:r>
          </w:p>
        </w:tc>
        <w:tc>
          <w:tcPr>
            <w:tcW w:type="dxa" w:w="2629"/>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③ 취지 2-가 ‘한도’·2-나 금액</w:t>
            </w:r>
          </w:p>
        </w:tc>
      </w:tr>
      <w:tr>
        <w:trPr>
          <w:tblHeader w:val="off"/>
        </w:trPr>
        <w:tc>
          <w:tcPr>
            <w:tcW w:type="dxa" w:w="5257"/>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③ 집행권원(공정증서 2020년 제123호), 청구금액 2억 원, 서울중앙 2024타채1154</w:t>
            </w:r>
          </w:p>
        </w:tc>
        <w:tc>
          <w:tcPr>
            <w:tcW w:type="dxa" w:w="1752"/>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 ‘대여금채권에 기하여’</w:t>
            </w:r>
          </w:p>
        </w:tc>
        <w:tc>
          <w:tcPr>
            <w:tcW w:type="dxa" w:w="2629"/>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① 추심명령 적법</w:t>
            </w:r>
          </w:p>
        </w:tc>
      </w:tr>
      <w:tr>
        <w:trPr>
          <w:tblHeader w:val="off"/>
        </w:trPr>
        <w:tc>
          <w:tcPr>
            <w:tcW w:type="dxa" w:w="5257"/>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③ 2021. 6. 15. 공사 완료 → 잔금 변제기</w:t>
            </w:r>
          </w:p>
        </w:tc>
        <w:tc>
          <w:tcPr>
            <w:tcW w:type="dxa" w:w="1752"/>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w:t>
            </w:r>
          </w:p>
        </w:tc>
        <w:tc>
          <w:tcPr>
            <w:tcW w:type="dxa" w:w="2629"/>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③ 기산일 2021. 6. 16.</w:t>
            </w:r>
          </w:p>
        </w:tc>
      </w:tr>
      <w:tr>
        <w:trPr>
          <w:tblHeader w:val="off"/>
        </w:trPr>
        <w:tc>
          <w:tcPr>
            <w:tcW w:type="dxa" w:w="5257"/>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③ 시효중단 효력이 추심채권자에게 미침(2019다212945)</w:t>
            </w:r>
          </w:p>
        </w:tc>
        <w:tc>
          <w:tcPr>
            <w:tcW w:type="dxa" w:w="1752"/>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w:t>
            </w:r>
          </w:p>
        </w:tc>
        <w:tc>
          <w:tcPr>
            <w:tcW w:type="dxa" w:w="2629"/>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② 시효 항변 차단</w:t>
            </w:r>
          </w:p>
        </w:tc>
      </w:tr>
      <w:tr>
        <w:trPr>
          <w:tblHeader w:val="off"/>
        </w:trPr>
        <w:tc>
          <w:tcPr>
            <w:tcW w:type="dxa" w:w="5257"/>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④ 신화 잔대금 3.5억 미지급 → 2022. 11. 10.부터 지연손해금</w:t>
            </w:r>
          </w:p>
        </w:tc>
        <w:tc>
          <w:tcPr>
            <w:tcW w:type="dxa" w:w="1752"/>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w:t>
            </w:r>
          </w:p>
        </w:tc>
        <w:tc>
          <w:tcPr>
            <w:tcW w:type="dxa" w:w="2629"/>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① 피보전채권 내용</w:t>
            </w:r>
          </w:p>
        </w:tc>
      </w:tr>
      <w:tr>
        <w:trPr>
          <w:tblHeader w:val="off"/>
        </w:trPr>
        <w:tc>
          <w:tcPr>
            <w:tcW w:type="dxa" w:w="5257"/>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④ 김현종 연대보증 — 기명날인 있는 서면</w:t>
            </w:r>
          </w:p>
        </w:tc>
        <w:tc>
          <w:tcPr>
            <w:tcW w:type="dxa" w:w="1752"/>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w:t>
            </w:r>
          </w:p>
        </w:tc>
        <w:tc>
          <w:tcPr>
            <w:tcW w:type="dxa" w:w="2629"/>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① 보증 방식 요건(§428의2)</w:t>
            </w:r>
          </w:p>
        </w:tc>
      </w:tr>
      <w:tr>
        <w:trPr>
          <w:tblHeader w:val="off"/>
        </w:trPr>
        <w:tc>
          <w:tcPr>
            <w:tcW w:type="dxa" w:w="5257"/>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④ 하재균 2020. 7. 1. 인도 + 7. 10. 사업자등록 / 강현수 2021. 5. 1. 소유권이전등기 → 지위 승계</w:t>
            </w:r>
          </w:p>
        </w:tc>
        <w:tc>
          <w:tcPr>
            <w:tcW w:type="dxa" w:w="1752"/>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 매수일(4. 15.)로 승계 서술</w:t>
            </w:r>
          </w:p>
        </w:tc>
        <w:tc>
          <w:tcPr>
            <w:tcW w:type="dxa" w:w="2629"/>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① 승계 시점은 등기일(상임법 §3②)</w:t>
            </w:r>
          </w:p>
        </w:tc>
      </w:tr>
      <w:tr>
        <w:trPr>
          <w:tblHeader w:val="off"/>
        </w:trPr>
        <w:tc>
          <w:tcPr>
            <w:tcW w:type="dxa" w:w="5257"/>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④ 공동부담 약정 → 불가분채권(§409)</w:t>
            </w:r>
          </w:p>
        </w:tc>
        <w:tc>
          <w:tcPr>
            <w:tcW w:type="dxa" w:w="1752"/>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 반론에서 ‘불가분채무’</w:t>
            </w:r>
          </w:p>
        </w:tc>
        <w:tc>
          <w:tcPr>
            <w:tcW w:type="dxa" w:w="2629"/>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① 전액 청구 근거</w:t>
            </w:r>
          </w:p>
        </w:tc>
      </w:tr>
      <w:tr>
        <w:trPr>
          <w:tblHeader w:val="off"/>
        </w:trPr>
        <w:tc>
          <w:tcPr>
            <w:tcW w:type="dxa" w:w="5257"/>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④ 2024. 6. 30. 기간만료 종료 + 같은 날 인도</w:t>
            </w:r>
          </w:p>
        </w:tc>
        <w:tc>
          <w:tcPr>
            <w:tcW w:type="dxa" w:w="1752"/>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w:t>
            </w:r>
          </w:p>
        </w:tc>
        <w:tc>
          <w:tcPr>
            <w:tcW w:type="dxa" w:w="2629"/>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② 동시이행 항변 차단 + ③ 기산일 7. 1.</w:t>
            </w:r>
          </w:p>
        </w:tc>
      </w:tr>
      <w:tr>
        <w:trPr>
          <w:tblHeader w:val="off"/>
        </w:trPr>
        <w:tc>
          <w:tcPr>
            <w:tcW w:type="dxa" w:w="5257"/>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④ 보조적 상행위(상법 §47①)</w:t>
            </w:r>
          </w:p>
        </w:tc>
        <w:tc>
          <w:tcPr>
            <w:tcW w:type="dxa" w:w="1752"/>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w:t>
            </w:r>
          </w:p>
        </w:tc>
        <w:tc>
          <w:tcPr>
            <w:tcW w:type="dxa" w:w="2629"/>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③ 연 6%</w:t>
            </w:r>
          </w:p>
        </w:tc>
      </w:tr>
      <w:tr>
        <w:trPr>
          <w:tblHeader w:val="off"/>
        </w:trPr>
        <w:tc>
          <w:tcPr>
            <w:tcW w:type="dxa" w:w="5257"/>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전체 ‘5. 결론’ / 각 청구 ‘다. 소결론’</w:t>
            </w:r>
          </w:p>
        </w:tc>
        <w:tc>
          <w:tcPr>
            <w:tcW w:type="dxa" w:w="1752"/>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w:t>
            </w:r>
          </w:p>
        </w:tc>
        <w:tc>
          <w:tcPr>
            <w:tcW w:type="dxa" w:w="2629"/>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형식(결론 1점·체계 5점)</w:t>
            </w:r>
          </w:p>
        </w:tc>
      </w:tr>
    </w:tbl>
    <w:p>
      <w:pPr>
        <w:spacing w:after="60" w:line="300"/>
      </w:pPr>
      <w:r>
        <w:rPr>
          <w:rFonts w:ascii="맑은 고딕" w:cs="맑은 고딕" w:eastAsia="맑은 고딕" w:hAnsi="맑은 고딕"/>
          <w:sz w:val="20"/>
          <w:szCs w:val="20"/>
        </w:rPr>
        <w:t xml:space="preserve"/>
      </w:r>
    </w:p>
    <w:p>
      <w:pPr>
        <w:pStyle w:val="Heading2"/>
        <w:pBdr>
          <w:bottom w:val="single" w:color="1F3864" w:sz="6" w:space="2"/>
        </w:pBdr>
        <w:spacing w:after="120" w:before="240"/>
      </w:pPr>
      <w:r>
        <w:rPr>
          <w:rFonts w:ascii="맑은 고딕" w:cs="맑은 고딕" w:eastAsia="맑은 고딕" w:hAnsi="맑은 고딕"/>
          <w:b/>
          <w:bCs/>
          <w:color w:val="1F3864"/>
          <w:sz w:val="25"/>
          <w:szCs w:val="25"/>
        </w:rPr>
        <w:t xml:space="preserve">【5】 종합 평가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3"/>
        <w:gridCol w:w="1204"/>
        <w:gridCol w:w="2411"/>
      </w:tblGrid>
      <w:tr>
        <w:trPr>
          <w:tblHeader/>
        </w:trPr>
        <w:tc>
          <w:tcPr>
            <w:tcW w:type="dxa" w:w="6023"/>
            <w:shd w:fill="D9E2F3" w:color="auto" w:val="clear"/>
            <w:tcMar>
              <w:top w:type="dxa" w:w="60"/>
              <w:left w:type="dxa" w:w="90"/>
              <w:bottom w:type="dxa" w:w="60"/>
              <w:right w:type="dxa" w:w="90"/>
            </w:tcMar>
          </w:tcPr>
          <w:p>
            <w:pPr>
              <w:spacing w:after="20" w:line="270"/>
            </w:pPr>
            <w:r>
              <w:rPr>
                <w:rFonts w:ascii="맑은 고딕" w:cs="맑은 고딕" w:eastAsia="맑은 고딕" w:hAnsi="맑은 고딕"/>
                <w:b/>
                <w:bCs/>
                <w:sz w:val="18"/>
                <w:szCs w:val="18"/>
              </w:rPr>
              <w:t xml:space="preserve">영역</w:t>
            </w:r>
          </w:p>
        </w:tc>
        <w:tc>
          <w:tcPr>
            <w:tcW w:type="dxa" w:w="1204"/>
            <w:shd w:fill="D9E2F3" w:color="auto" w:val="clear"/>
            <w:tcMar>
              <w:top w:type="dxa" w:w="60"/>
              <w:left w:type="dxa" w:w="90"/>
              <w:bottom w:type="dxa" w:w="60"/>
              <w:right w:type="dxa" w:w="90"/>
            </w:tcMar>
          </w:tcPr>
          <w:p>
            <w:pPr>
              <w:spacing w:after="20" w:line="270"/>
            </w:pPr>
            <w:r>
              <w:rPr>
                <w:rFonts w:ascii="맑은 고딕" w:cs="맑은 고딕" w:eastAsia="맑은 고딕" w:hAnsi="맑은 고딕"/>
                <w:b/>
                <w:bCs/>
                <w:sz w:val="18"/>
                <w:szCs w:val="18"/>
              </w:rPr>
              <w:t xml:space="preserve">배점</w:t>
            </w:r>
          </w:p>
        </w:tc>
        <w:tc>
          <w:tcPr>
            <w:tcW w:type="dxa" w:w="2411"/>
            <w:shd w:fill="D9E2F3" w:color="auto" w:val="clear"/>
            <w:tcMar>
              <w:top w:type="dxa" w:w="60"/>
              <w:left w:type="dxa" w:w="90"/>
              <w:bottom w:type="dxa" w:w="60"/>
              <w:right w:type="dxa" w:w="90"/>
            </w:tcMar>
          </w:tcPr>
          <w:p>
            <w:pPr>
              <w:spacing w:after="20" w:line="270"/>
            </w:pPr>
            <w:r>
              <w:rPr>
                <w:rFonts w:ascii="맑은 고딕" w:cs="맑은 고딕" w:eastAsia="맑은 고딕" w:hAnsi="맑은 고딕"/>
                <w:b/>
                <w:bCs/>
                <w:sz w:val="18"/>
                <w:szCs w:val="18"/>
              </w:rPr>
              <w:t xml:space="preserve">추정</w:t>
            </w:r>
          </w:p>
        </w:tc>
      </w:tr>
      <w:tr>
        <w:trPr>
          <w:tblHeader w:val="off"/>
        </w:trPr>
        <w:tc>
          <w:tcPr>
            <w:tcW w:type="dxa" w:w="6023"/>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당사자·사건명</w:t>
            </w:r>
          </w:p>
        </w:tc>
        <w:tc>
          <w:tcPr>
            <w:tcW w:type="dxa" w:w="1204"/>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7</w:t>
            </w:r>
          </w:p>
        </w:tc>
        <w:tc>
          <w:tcPr>
            <w:tcW w:type="dxa" w:w="241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7</w:t>
            </w:r>
          </w:p>
        </w:tc>
      </w:tr>
      <w:tr>
        <w:trPr>
          <w:tblHeader w:val="off"/>
        </w:trPr>
        <w:tc>
          <w:tcPr>
            <w:tcW w:type="dxa" w:w="6023"/>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청구취지</w:t>
            </w:r>
          </w:p>
        </w:tc>
        <w:tc>
          <w:tcPr>
            <w:tcW w:type="dxa" w:w="1204"/>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57</w:t>
            </w:r>
          </w:p>
        </w:tc>
        <w:tc>
          <w:tcPr>
            <w:tcW w:type="dxa" w:w="241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32.5</w:t>
            </w:r>
          </w:p>
        </w:tc>
      </w:tr>
      <w:tr>
        <w:trPr>
          <w:tblHeader w:val="off"/>
        </w:trPr>
        <w:tc>
          <w:tcPr>
            <w:tcW w:type="dxa" w:w="6023"/>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청구원인 ① 소유권이전등기</w:t>
            </w:r>
          </w:p>
        </w:tc>
        <w:tc>
          <w:tcPr>
            <w:tcW w:type="dxa" w:w="1204"/>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23</w:t>
            </w:r>
          </w:p>
        </w:tc>
        <w:tc>
          <w:tcPr>
            <w:tcW w:type="dxa" w:w="241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9</w:t>
            </w:r>
          </w:p>
        </w:tc>
      </w:tr>
      <w:tr>
        <w:trPr>
          <w:tblHeader w:val="off"/>
        </w:trPr>
        <w:tc>
          <w:tcPr>
            <w:tcW w:type="dxa" w:w="6023"/>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청구원인 ② 사해행위취소</w:t>
            </w:r>
          </w:p>
        </w:tc>
        <w:tc>
          <w:tcPr>
            <w:tcW w:type="dxa" w:w="1204"/>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28</w:t>
            </w:r>
          </w:p>
        </w:tc>
        <w:tc>
          <w:tcPr>
            <w:tcW w:type="dxa" w:w="241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17</w:t>
            </w:r>
          </w:p>
        </w:tc>
      </w:tr>
      <w:tr>
        <w:trPr>
          <w:tblHeader w:val="off"/>
        </w:trPr>
        <w:tc>
          <w:tcPr>
            <w:tcW w:type="dxa" w:w="6023"/>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청구원인 ③ 추심금</w:t>
            </w:r>
          </w:p>
        </w:tc>
        <w:tc>
          <w:tcPr>
            <w:tcW w:type="dxa" w:w="1204"/>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16</w:t>
            </w:r>
          </w:p>
        </w:tc>
        <w:tc>
          <w:tcPr>
            <w:tcW w:type="dxa" w:w="241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11.5</w:t>
            </w:r>
          </w:p>
        </w:tc>
      </w:tr>
      <w:tr>
        <w:trPr>
          <w:tblHeader w:val="off"/>
        </w:trPr>
        <w:tc>
          <w:tcPr>
            <w:tcW w:type="dxa" w:w="6023"/>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청구원인 ④ 임대차보증금</w:t>
            </w:r>
          </w:p>
        </w:tc>
        <w:tc>
          <w:tcPr>
            <w:tcW w:type="dxa" w:w="1204"/>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35</w:t>
            </w:r>
          </w:p>
        </w:tc>
        <w:tc>
          <w:tcPr>
            <w:tcW w:type="dxa" w:w="241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23</w:t>
            </w:r>
          </w:p>
        </w:tc>
      </w:tr>
      <w:tr>
        <w:trPr>
          <w:tblHeader w:val="off"/>
        </w:trPr>
        <w:tc>
          <w:tcPr>
            <w:tcW w:type="dxa" w:w="6023"/>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결론</w:t>
            </w:r>
          </w:p>
        </w:tc>
        <w:tc>
          <w:tcPr>
            <w:tcW w:type="dxa" w:w="1204"/>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1</w:t>
            </w:r>
          </w:p>
        </w:tc>
        <w:tc>
          <w:tcPr>
            <w:tcW w:type="dxa" w:w="241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0</w:t>
            </w:r>
          </w:p>
        </w:tc>
      </w:tr>
      <w:tr>
        <w:trPr>
          <w:tblHeader w:val="off"/>
        </w:trPr>
        <w:tc>
          <w:tcPr>
            <w:tcW w:type="dxa" w:w="6023"/>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관할·작성일·대리인</w:t>
            </w:r>
          </w:p>
        </w:tc>
        <w:tc>
          <w:tcPr>
            <w:tcW w:type="dxa" w:w="1204"/>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3</w:t>
            </w:r>
          </w:p>
        </w:tc>
        <w:tc>
          <w:tcPr>
            <w:tcW w:type="dxa" w:w="241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3</w:t>
            </w:r>
          </w:p>
        </w:tc>
      </w:tr>
      <w:tr>
        <w:trPr>
          <w:tblHeader w:val="off"/>
        </w:trPr>
        <w:tc>
          <w:tcPr>
            <w:tcW w:type="dxa" w:w="6023"/>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체계·구성·논리전개</w:t>
            </w:r>
          </w:p>
        </w:tc>
        <w:tc>
          <w:tcPr>
            <w:tcW w:type="dxa" w:w="1204"/>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5</w:t>
            </w:r>
          </w:p>
        </w:tc>
        <w:tc>
          <w:tcPr>
            <w:tcW w:type="dxa" w:w="2411"/>
            <w:tcMar>
              <w:top w:type="dxa" w:w="60"/>
              <w:left w:type="dxa" w:w="90"/>
              <w:bottom w:type="dxa" w:w="60"/>
              <w:right w:type="dxa" w:w="90"/>
            </w:tcMar>
          </w:tcPr>
          <w:p>
            <w:pPr>
              <w:spacing w:after="20" w:line="270"/>
            </w:pPr>
            <w:r>
              <w:rPr>
                <w:rFonts w:ascii="맑은 고딕" w:cs="맑은 고딕" w:eastAsia="맑은 고딕" w:hAnsi="맑은 고딕"/>
                <w:b w:val="false"/>
                <w:bCs w:val="false"/>
                <w:sz w:val="18"/>
                <w:szCs w:val="18"/>
              </w:rPr>
              <w:t xml:space="preserve">3</w:t>
            </w:r>
          </w:p>
        </w:tc>
      </w:tr>
      <w:tr>
        <w:trPr>
          <w:tblHeader w:val="off"/>
        </w:trPr>
        <w:tc>
          <w:tcPr>
            <w:tcW w:type="dxa" w:w="6023"/>
            <w:tcMar>
              <w:top w:type="dxa" w:w="60"/>
              <w:left w:type="dxa" w:w="90"/>
              <w:bottom w:type="dxa" w:w="60"/>
              <w:right w:type="dxa" w:w="90"/>
            </w:tcMar>
          </w:tcPr>
          <w:p>
            <w:pPr>
              <w:spacing w:after="20" w:line="270"/>
            </w:pPr>
            <w:r>
              <w:rPr>
                <w:rFonts w:ascii="맑은 고딕" w:cs="맑은 고딕" w:eastAsia="맑은 고딕" w:hAnsi="맑은 고딕"/>
                <w:b/>
                <w:bCs/>
                <w:sz w:val="18"/>
                <w:szCs w:val="18"/>
              </w:rPr>
              <w:t xml:space="preserve">합계</w:t>
            </w:r>
          </w:p>
        </w:tc>
        <w:tc>
          <w:tcPr>
            <w:tcW w:type="dxa" w:w="1204"/>
            <w:tcMar>
              <w:top w:type="dxa" w:w="60"/>
              <w:left w:type="dxa" w:w="90"/>
              <w:bottom w:type="dxa" w:w="60"/>
              <w:right w:type="dxa" w:w="90"/>
            </w:tcMar>
          </w:tcPr>
          <w:p>
            <w:pPr>
              <w:spacing w:after="20" w:line="270"/>
            </w:pPr>
            <w:r>
              <w:rPr>
                <w:rFonts w:ascii="맑은 고딕" w:cs="맑은 고딕" w:eastAsia="맑은 고딕" w:hAnsi="맑은 고딕"/>
                <w:b/>
                <w:bCs/>
                <w:sz w:val="18"/>
                <w:szCs w:val="18"/>
              </w:rPr>
              <w:t xml:space="preserve">175</w:t>
            </w:r>
          </w:p>
        </w:tc>
        <w:tc>
          <w:tcPr>
            <w:tcW w:type="dxa" w:w="2411"/>
            <w:tcMar>
              <w:top w:type="dxa" w:w="60"/>
              <w:left w:type="dxa" w:w="90"/>
              <w:bottom w:type="dxa" w:w="60"/>
              <w:right w:type="dxa" w:w="90"/>
            </w:tcMar>
          </w:tcPr>
          <w:p>
            <w:pPr>
              <w:spacing w:after="20" w:line="270"/>
            </w:pPr>
            <w:r>
              <w:rPr>
                <w:rFonts w:ascii="맑은 고딕" w:cs="맑은 고딕" w:eastAsia="맑은 고딕" w:hAnsi="맑은 고딕"/>
                <w:b/>
                <w:bCs/>
                <w:sz w:val="18"/>
                <w:szCs w:val="18"/>
              </w:rPr>
              <w:t xml:space="preserve">106 (60.6%)</w:t>
            </w:r>
          </w:p>
        </w:tc>
      </w:tr>
    </w:tbl>
    <w:p>
      <w:pPr>
        <w:spacing w:after="60" w:line="300"/>
      </w:pPr>
      <w:r>
        <w:rPr>
          <w:rFonts w:ascii="맑은 고딕" w:cs="맑은 고딕" w:eastAsia="맑은 고딕" w:hAnsi="맑은 고딕"/>
          <w:sz w:val="20"/>
          <w:szCs w:val="20"/>
        </w:rPr>
        <w:t xml:space="preserve"/>
      </w:r>
    </w:p>
    <w:p>
      <w:pPr>
        <w:spacing w:after="80" w:line="300"/>
      </w:pPr>
      <w:r>
        <w:rPr>
          <w:rFonts w:ascii="맑은 고딕" w:cs="맑은 고딕" w:eastAsia="맑은 고딕" w:hAnsi="맑은 고딕"/>
          <w:b/>
          <w:bCs/>
          <w:sz w:val="20"/>
          <w:szCs w:val="20"/>
        </w:rPr>
        <w:t xml:space="preserve">평가 등급 : A (합격권)</w:t>
      </w:r>
    </w:p>
    <w:p>
      <w:pPr>
        <w:spacing w:after="80" w:line="300"/>
      </w:pPr>
      <w:r>
        <w:rPr>
          <w:rFonts w:ascii="맑은 고딕" w:cs="맑은 고딕" w:eastAsia="맑은 고딕" w:hAnsi="맑은 고딕"/>
          <w:b/>
          <w:bCs/>
          <w:sz w:val="20"/>
          <w:szCs w:val="20"/>
        </w:rPr>
        <w:t xml:space="preserve">총평: </w:t>
      </w:r>
      <w:r>
        <w:rPr>
          <w:rFonts w:ascii="맑은 고딕" w:cs="맑은 고딕" w:eastAsia="맑은 고딕" w:hAnsi="맑은 고딕"/>
          <w:sz w:val="20"/>
          <w:szCs w:val="20"/>
        </w:rPr>
        <w:t xml:space="preserve">반론 15개를 제목 단위로 전부 찾아내고 판단 방향도 거의 맞혔습니다. 26-10모(74, 기록 판독 방향 오류)와 비교하면 판독 단계는 확실히 안정되었습니다. 이번 실점의 약 60%는 세 군데에 몰려 있습니다. ① 시효기간 산수(1항 취지 7점 + 원인 약 9점) ② 가액배상 기준 선택(2항 취지 약 6점 + 원인 약 5점) ③ 원인→취지 전사(이름·이율 약 8점). 나머지 실점은 판례 결론 문장 대신 자기 논리로 서술해 반론별 부분점수가 절반에 머문 데서 나왔습니다.</w:t>
      </w:r>
    </w:p>
    <w:p>
      <w:pPr>
        <w:pStyle w:val="Heading2"/>
        <w:pBdr>
          <w:bottom w:val="single" w:color="1F3864" w:sz="6" w:space="2"/>
        </w:pBdr>
        <w:spacing w:after="120" w:before="240"/>
      </w:pPr>
      <w:r>
        <w:rPr>
          <w:rFonts w:ascii="맑은 고딕" w:cs="맑은 고딕" w:eastAsia="맑은 고딕" w:hAnsi="맑은 고딕"/>
          <w:b/>
          <w:bCs/>
          <w:color w:val="1F3864"/>
          <w:sz w:val="25"/>
          <w:szCs w:val="25"/>
        </w:rPr>
        <w:t xml:space="preserve">【6】 핵심 수정 사항 TOP 3</w:t>
      </w:r>
    </w:p>
    <w:p>
      <w:pPr>
        <w:spacing w:after="80" w:line="300"/>
      </w:pPr>
      <w:r>
        <w:rPr>
          <w:rFonts w:ascii="맑은 고딕" w:cs="맑은 고딕" w:eastAsia="맑은 고딕" w:hAnsi="맑은 고딕"/>
          <w:b/>
          <w:bCs/>
          <w:sz w:val="20"/>
          <w:szCs w:val="20"/>
        </w:rPr>
        <w:t xml:space="preserve">1순위 [실체·계산] 점유취득시효 기산점 선택 </w:t>
      </w:r>
      <w:r>
        <w:rPr>
          <w:rFonts w:ascii="맑은 고딕" w:cs="맑은 고딕" w:eastAsia="맑은 고딕" w:hAnsi="맑은 고딕"/>
          <w:sz w:val="20"/>
          <w:szCs w:val="20"/>
        </w:rPr>
        <w:t xml:space="preserve">— “선택한 점유개시일 + 20년 = 완성일 → 그날 등기명의인 = 피고”를 식으로 기재. 완성 후 취득자가 피고면 기산점을 뒤로 옮길 수 있는지(전 점유자 단계 선택, 97다56822)부터 검토. (취지 + 원인 연쇄 약 16점)</w:t>
      </w:r>
    </w:p>
    <w:p>
      <w:pPr>
        <w:spacing w:after="80" w:line="300"/>
      </w:pPr>
      <w:r>
        <w:rPr>
          <w:rFonts w:ascii="맑은 고딕" w:cs="맑은 고딕" w:eastAsia="맑은 고딕" w:hAnsi="맑은 고딕"/>
          <w:b/>
          <w:bCs/>
          <w:sz w:val="20"/>
          <w:szCs w:val="20"/>
        </w:rPr>
        <w:t xml:space="preserve">2순위 [청구취지·실체] 가액배상 공식 고정 </w:t>
      </w:r>
      <w:r>
        <w:rPr>
          <w:rFonts w:ascii="맑은 고딕" w:cs="맑은 고딕" w:eastAsia="맑은 고딕" w:hAnsi="맑은 고딕"/>
          <w:sz w:val="20"/>
          <w:szCs w:val="20"/>
        </w:rPr>
        <w:t xml:space="preserve">— min(피보전채권액, 변론종결 시 시가 − 선순위 피담보채권액). 가액배상이면 2-가에 “○○원의 한도 내에서” 자동 삽입. 수익자 이득액·사해행위 당시 시가는 기준이 아님. (약 11점)</w:t>
      </w:r>
    </w:p>
    <w:p>
      <w:pPr>
        <w:spacing w:after="80" w:line="300"/>
      </w:pPr>
      <w:r>
        <w:rPr>
          <w:rFonts w:ascii="맑은 고딕" w:cs="맑은 고딕" w:eastAsia="맑은 고딕" w:hAnsi="맑은 고딕"/>
          <w:b/>
          <w:bCs/>
          <w:sz w:val="20"/>
          <w:szCs w:val="20"/>
        </w:rPr>
        <w:t xml:space="preserve">3순위 [형식] 30초 역대조 루틴 </w:t>
      </w:r>
      <w:r>
        <w:rPr>
          <w:rFonts w:ascii="맑은 고딕" w:cs="맑은 고딕" w:eastAsia="맑은 고딕" w:hAnsi="맑은 고딕"/>
          <w:sz w:val="20"/>
          <w:szCs w:val="20"/>
        </w:rPr>
        <w:t xml:space="preserve">— 당사자 표시란 ↔ 청구취지·본문 이름(김지수·박만수·유니콘), 청구원인 소결론 ↔ 청구취지 이율·금액 1:1 대조. 재범 #9 4회째, 신규 #14. (약 8점)</w:t>
      </w:r>
    </w:p>
    <w:p>
      <w:pPr>
        <w:pStyle w:val="Heading2"/>
        <w:pBdr>
          <w:bottom w:val="single" w:color="1F3864" w:sz="6" w:space="2"/>
        </w:pBdr>
        <w:spacing w:after="120" w:before="240"/>
      </w:pPr>
      <w:r>
        <w:rPr>
          <w:rFonts w:ascii="맑은 고딕" w:cs="맑은 고딕" w:eastAsia="맑은 고딕" w:hAnsi="맑은 고딕"/>
          <w:b/>
          <w:bCs/>
          <w:color w:val="1F3864"/>
          <w:sz w:val="25"/>
          <w:szCs w:val="25"/>
        </w:rPr>
        <w:t xml:space="preserve">【7】 오류 원인 진단 + 첨삭 요약 (누적 저장용)</w:t>
      </w:r>
    </w:p>
    <w:p>
      <w:pPr>
        <w:spacing w:after="80" w:line="300"/>
      </w:pPr>
      <w:r>
        <w:rPr>
          <w:rFonts w:ascii="맑은 고딕" w:cs="맑은 고딕" w:eastAsia="맑은 고딕" w:hAnsi="맑은 고딕"/>
          <w:b/>
          <w:bCs/>
          <w:sz w:val="20"/>
          <w:szCs w:val="20"/>
        </w:rPr>
        <w:t xml:space="preserve">[기록형 첨삭 요약] </w:t>
      </w:r>
      <w:r>
        <w:rPr>
          <w:rFonts w:ascii="맑은 고딕" w:cs="맑은 고딕" w:eastAsia="맑은 고딕" w:hAnsi="맑은 고딕"/>
          <w:sz w:val="20"/>
          <w:szCs w:val="20"/>
        </w:rPr>
        <w:t xml:space="preserve">일자 : 2026. 10. 29. 문제 : 소유권이전등기 등 청구의 소 (2024년도 제3차 변호사시험 모의시험 기록형) 예상득점 : 106 / 175 (채점기준표 배점, 부분점수 추정) · 등급 A</w:t>
      </w:r>
    </w:p>
    <w:p>
      <w:pPr>
        <w:spacing w:after="80" w:line="300"/>
      </w:pPr>
      <w:r>
        <w:rPr>
          <w:rFonts w:ascii="맑은 고딕" w:cs="맑은 고딕" w:eastAsia="맑은 고딕" w:hAnsi="맑은 고딕"/>
          <w:b/>
          <w:bCs/>
          <w:sz w:val="20"/>
          <w:szCs w:val="20"/>
        </w:rPr>
        <w:t xml:space="preserve">▶ 형식 오류</w:t>
      </w:r>
    </w:p>
    <w:p>
      <w:pPr>
        <w:spacing w:after="40" w:line="300"/>
        <w:ind w:left="200"/>
      </w:pPr>
      <w:r>
        <w:rPr>
          <w:rFonts w:ascii="맑은 고딕" w:cs="맑은 고딕" w:eastAsia="맑은 고딕" w:hAnsi="맑은 고딕"/>
          <w:sz w:val="20"/>
          <w:szCs w:val="20"/>
        </w:rPr>
        <w:t xml:space="preserve">청구취지 1항 번호 누락, 5항 마침표, 6항 ‘각’ 누락</w:t>
      </w:r>
    </w:p>
    <w:p>
      <w:pPr>
        <w:spacing w:after="40" w:line="300"/>
        <w:ind w:left="200"/>
      </w:pPr>
      <w:r>
        <w:rPr>
          <w:rFonts w:ascii="맑은 고딕" w:cs="맑은 고딕" w:eastAsia="맑은 고딕" w:hAnsi="맑은 고딕"/>
          <w:sz w:val="20"/>
          <w:szCs w:val="20"/>
        </w:rPr>
        <w:t xml:space="preserve">청구원인 ① 번호 누락, 각 청구 ‘다. 소결론’ 부재, ‘5. 결론’ 누락</w:t>
      </w:r>
    </w:p>
    <w:p>
      <w:pPr>
        <w:spacing w:after="80" w:line="300"/>
      </w:pPr>
      <w:r>
        <w:rPr>
          <w:rFonts w:ascii="맑은 고딕" w:cs="맑은 고딕" w:eastAsia="맑은 고딕" w:hAnsi="맑은 고딕"/>
          <w:b/>
          <w:bCs/>
          <w:sz w:val="20"/>
          <w:szCs w:val="20"/>
        </w:rPr>
        <w:t xml:space="preserve">▶ 청구취지 오류</w:t>
      </w:r>
    </w:p>
    <w:p>
      <w:pPr>
        <w:spacing w:after="40" w:line="300"/>
        <w:ind w:left="200"/>
      </w:pPr>
      <w:r>
        <w:rPr>
          <w:rFonts w:ascii="맑은 고딕" w:cs="맑은 고딕" w:eastAsia="맑은 고딕" w:hAnsi="맑은 고딕"/>
          <w:sz w:val="20"/>
          <w:szCs w:val="20"/>
        </w:rPr>
        <w:t xml:space="preserve">1항: 토지 → 부동산 / 2024. 1. 1. → 2024. 3. 4.(~소 제기일)</w:t>
      </w:r>
    </w:p>
    <w:p>
      <w:pPr>
        <w:spacing w:after="40" w:line="300"/>
        <w:ind w:left="200"/>
      </w:pPr>
      <w:r>
        <w:rPr>
          <w:rFonts w:ascii="맑은 고딕" w:cs="맑은 고딕" w:eastAsia="맑은 고딕" w:hAnsi="맑은 고딕"/>
          <w:sz w:val="20"/>
          <w:szCs w:val="20"/>
        </w:rPr>
        <w:t xml:space="preserve">2-가: ‘원고와 피고 김승환 사이에서.’ 삭제 / 박지수 → 김지수 / 건물에 대한 → 부동산에 관하여 / ‘200,000,000원의 한도 내에서’ 추가</w:t>
      </w:r>
    </w:p>
    <w:p>
      <w:pPr>
        <w:spacing w:after="40" w:line="300"/>
        <w:ind w:left="200"/>
      </w:pPr>
      <w:r>
        <w:rPr>
          <w:rFonts w:ascii="맑은 고딕" w:cs="맑은 고딕" w:eastAsia="맑은 고딕" w:hAnsi="맑은 고딕"/>
          <w:sz w:val="20"/>
          <w:szCs w:val="20"/>
        </w:rPr>
        <w:t xml:space="preserve">2-나: 1억 → 2억, ‘이에 대하여’ 추가</w:t>
      </w:r>
    </w:p>
    <w:p>
      <w:pPr>
        <w:spacing w:after="40" w:line="300"/>
        <w:ind w:left="200"/>
      </w:pPr>
      <w:r>
        <w:rPr>
          <w:rFonts w:ascii="맑은 고딕" w:cs="맑은 고딕" w:eastAsia="맑은 고딕" w:hAnsi="맑은 고딕"/>
          <w:sz w:val="20"/>
          <w:szCs w:val="20"/>
        </w:rPr>
        <w:t xml:space="preserve">4항: 1구간 연 12% → 연 6%</w:t>
      </w:r>
    </w:p>
    <w:p>
      <w:pPr>
        <w:spacing w:after="80" w:line="300"/>
      </w:pPr>
      <w:r>
        <w:rPr>
          <w:rFonts w:ascii="맑은 고딕" w:cs="맑은 고딕" w:eastAsia="맑은 고딕" w:hAnsi="맑은 고딕"/>
          <w:b/>
          <w:bCs/>
          <w:sz w:val="20"/>
          <w:szCs w:val="20"/>
        </w:rPr>
        <w:t xml:space="preserve">▶ 실체(요건사실) 오류</w:t>
      </w:r>
    </w:p>
    <w:p>
      <w:pPr>
        <w:spacing w:after="40" w:line="300"/>
        <w:ind w:left="200"/>
      </w:pPr>
      <w:r>
        <w:rPr>
          <w:rFonts w:ascii="맑은 고딕" w:cs="맑은 고딕" w:eastAsia="맑은 고딕" w:hAnsi="맑은 고딕"/>
          <w:sz w:val="20"/>
          <w:szCs w:val="20"/>
        </w:rPr>
        <w:t xml:space="preserve">점유 10년을 20년으로 오산, 점유 승계·기산점 선택(97다56822) 누락</w:t>
      </w:r>
    </w:p>
    <w:p>
      <w:pPr>
        <w:spacing w:after="40" w:line="300"/>
        <w:ind w:left="200"/>
      </w:pPr>
      <w:r>
        <w:rPr>
          <w:rFonts w:ascii="맑은 고딕" w:cs="맑은 고딕" w:eastAsia="맑은 고딕" w:hAnsi="맑은 고딕"/>
          <w:sz w:val="20"/>
          <w:szCs w:val="20"/>
        </w:rPr>
        <w:t xml:space="preserve">응소 시효중단: 매매 부인은 재판상 청구 아님(97다30288) 논거 이탈 / 타인 토지 매수 자주점유(97다37661) 누락</w:t>
      </w:r>
    </w:p>
    <w:p>
      <w:pPr>
        <w:spacing w:after="40" w:line="300"/>
        <w:ind w:left="200"/>
      </w:pPr>
      <w:r>
        <w:rPr>
          <w:rFonts w:ascii="맑은 고딕" w:cs="맑은 고딕" w:eastAsia="맑은 고딕" w:hAnsi="맑은 고딕"/>
          <w:sz w:val="20"/>
          <w:szCs w:val="20"/>
        </w:rPr>
        <w:t xml:space="preserve">가액배상 기준을 수익자 이득액으로 산정(정답: min 공식, 2001다33734) / 가압류 공제 논거 모순</w:t>
      </w:r>
    </w:p>
    <w:p>
      <w:pPr>
        <w:spacing w:after="40" w:line="300"/>
        <w:ind w:left="200"/>
      </w:pPr>
      <w:r>
        <w:rPr>
          <w:rFonts w:ascii="맑은 고딕" w:cs="맑은 고딕" w:eastAsia="맑은 고딕" w:hAnsi="맑은 고딕"/>
          <w:sz w:val="20"/>
          <w:szCs w:val="20"/>
        </w:rPr>
        <w:t xml:space="preserve">추심권능 압류 불가 → 무효(96다54300) 누락(2025 전합 논거는 부분 정답) / 시효 재진행 기산점 송달일(2022다210093) 오류</w:t>
      </w:r>
    </w:p>
    <w:p>
      <w:pPr>
        <w:spacing w:after="40" w:line="300"/>
        <w:ind w:left="200"/>
      </w:pPr>
      <w:r>
        <w:rPr>
          <w:rFonts w:ascii="맑은 고딕" w:cs="맑은 고딕" w:eastAsia="맑은 고딕" w:hAnsi="맑은 고딕"/>
          <w:sz w:val="20"/>
          <w:szCs w:val="20"/>
        </w:rPr>
        <w:t xml:space="preserve">불가분‘채무’·‘대표적’ / 대항력 ‘동업관계’ / 전부명령 ‘변제의 효력’ / 상사이율 근거 누락</w:t>
      </w:r>
    </w:p>
    <w:p>
      <w:pPr>
        <w:spacing w:after="80" w:line="300"/>
      </w:pPr>
      <w:r>
        <w:rPr>
          <w:rFonts w:ascii="맑은 고딕" w:cs="맑은 고딕" w:eastAsia="맑은 고딕" w:hAnsi="맑은 고딕"/>
          <w:b/>
          <w:bCs/>
          <w:sz w:val="20"/>
          <w:szCs w:val="20"/>
        </w:rPr>
        <w:t xml:space="preserve">▶ 오류 원인 진단</w:t>
      </w:r>
    </w:p>
    <w:p>
      <w:pPr>
        <w:spacing w:after="40" w:line="300"/>
        <w:ind w:left="200"/>
      </w:pPr>
      <w:r>
        <w:rPr>
          <w:rFonts w:ascii="맑은 고딕" w:cs="맑은 고딕" w:eastAsia="맑은 고딕" w:hAnsi="맑은 고딕"/>
          <w:sz w:val="20"/>
          <w:szCs w:val="20"/>
        </w:rPr>
        <w:t xml:space="preserve">유형 : 논리 비약(계산 검산 부재) / 쟁점 누락(판례 핵심 문언) / 청구취지 전사 실패</w:t>
      </w:r>
    </w:p>
    <w:p>
      <w:pPr>
        <w:spacing w:after="40" w:line="300"/>
        <w:ind w:left="200"/>
      </w:pPr>
      <w:r>
        <w:rPr>
          <w:rFonts w:ascii="맑은 고딕" w:cs="맑은 고딕" w:eastAsia="맑은 고딕" w:hAnsi="맑은 고딕"/>
          <w:sz w:val="20"/>
          <w:szCs w:val="20"/>
        </w:rPr>
        <w:t xml:space="preserve">진단 : 쟁점 인지율 100%. 실점은 숫자를 식 없이 결론만 쓰는 습관, 판례 결론 대신 자기 논리 서술, 원인→취지 옮겨 적기 단계에서 발생.</w:t>
      </w:r>
    </w:p>
    <w:p>
      <w:pPr>
        <w:spacing w:after="40" w:line="300"/>
        <w:ind w:left="200"/>
      </w:pPr>
      <w:r>
        <w:rPr>
          <w:rFonts w:ascii="맑은 고딕" w:cs="맑은 고딕" w:eastAsia="맑은 고딕" w:hAnsi="맑은 고딕"/>
          <w:sz w:val="20"/>
          <w:szCs w:val="20"/>
        </w:rPr>
        <w:t xml:space="preserve">개선 방향 : 숫자는 식으로 / 반론마다 판례 결론 1문장 인출 / 완성 후 30초 역대조</w:t>
      </w:r>
    </w:p>
    <w:p>
      <w:pPr>
        <w:spacing w:after="80" w:line="300"/>
      </w:pPr>
      <w:r>
        <w:rPr>
          <w:rFonts w:ascii="맑은 고딕" w:cs="맑은 고딕" w:eastAsia="맑은 고딕" w:hAnsi="맑은 고딕"/>
          <w:b/>
          <w:bCs/>
          <w:sz w:val="20"/>
          <w:szCs w:val="20"/>
        </w:rPr>
        <w:t xml:space="preserve">▶ 반복 오류 패턴 (누적 주의)</w:t>
      </w:r>
    </w:p>
    <w:p>
      <w:pPr>
        <w:spacing w:after="40" w:line="300"/>
        <w:ind w:left="200"/>
      </w:pPr>
      <w:r>
        <w:rPr>
          <w:rFonts w:ascii="맑은 고딕" w:cs="맑은 고딕" w:eastAsia="맑은 고딕" w:hAnsi="맑은 고딕"/>
          <w:sz w:val="20"/>
          <w:szCs w:val="20"/>
        </w:rPr>
        <w:t xml:space="preserve">#9 당사자명 오기 — 4회째(6회 → 8모 → 10모 → 24-3모: 김지수·박만수·유니콘)</w:t>
      </w:r>
    </w:p>
    <w:p>
      <w:pPr>
        <w:spacing w:after="40" w:line="300"/>
        <w:ind w:left="200"/>
      </w:pPr>
      <w:r>
        <w:rPr>
          <w:rFonts w:ascii="맑은 고딕" w:cs="맑은 고딕" w:eastAsia="맑은 고딕" w:hAnsi="맑은 고딕"/>
          <w:sz w:val="20"/>
          <w:szCs w:val="20"/>
        </w:rPr>
        <w:t xml:space="preserve">#2 가액배상 금액 오산 — 2회째(14회 → 24-3모). 기산일 부분은 교정</w:t>
      </w:r>
    </w:p>
    <w:p>
      <w:pPr>
        <w:spacing w:after="40" w:line="300"/>
        <w:ind w:left="200"/>
      </w:pPr>
      <w:r>
        <w:rPr>
          <w:rFonts w:ascii="맑은 고딕" w:cs="맑은 고딕" w:eastAsia="맑은 고딕" w:hAnsi="맑은 고딕"/>
          <w:sz w:val="20"/>
          <w:szCs w:val="20"/>
        </w:rPr>
        <w:t xml:space="preserve">#8 ‘각’ — 변형(‘각 가집행’ 누락). ‘각 비율로’는 정확</w:t>
      </w:r>
    </w:p>
    <w:p>
      <w:pPr>
        <w:spacing w:after="40" w:line="300"/>
        <w:ind w:left="200"/>
      </w:pPr>
      <w:r>
        <w:rPr>
          <w:rFonts w:ascii="맑은 고딕" w:cs="맑은 고딕" w:eastAsia="맑은 고딕" w:hAnsi="맑은 고딕"/>
          <w:sz w:val="20"/>
          <w:szCs w:val="20"/>
        </w:rPr>
        <w:t xml:space="preserve">결론 항 누락 — 3회째(8모 → 10모 → 24-3모)</w:t>
      </w:r>
    </w:p>
    <w:p>
      <w:pPr>
        <w:spacing w:after="40" w:line="300"/>
        <w:ind w:left="200"/>
      </w:pPr>
      <w:r>
        <w:rPr>
          <w:rFonts w:ascii="맑은 고딕" w:cs="맑은 고딕" w:eastAsia="맑은 고딕" w:hAnsi="맑은 고딕"/>
          <w:sz w:val="20"/>
          <w:szCs w:val="20"/>
        </w:rPr>
        <w:t xml:space="preserve">[신규 #14] 이율 전사 실패(원인 6% → 취지 12%) / [신규 #15] 시효기간 산수 오류(10년 ≠ 20년)</w:t>
      </w:r>
    </w:p>
    <w:p>
      <w:pPr>
        <w:spacing w:after="40" w:line="300"/>
        <w:ind w:left="200"/>
      </w:pPr>
      <w:r>
        <w:rPr>
          <w:rFonts w:ascii="맑은 고딕" w:cs="맑은 고딕" w:eastAsia="맑은 고딕" w:hAnsi="맑은 고딕"/>
          <w:sz w:val="20"/>
          <w:szCs w:val="20"/>
        </w:rPr>
        <w:t xml:space="preserve">교정 유지 : 가집행 선별 4연속, #3 연 12%, #12 기산일 ‘다음 날’(2021. 6. 16.·2024. 7. 1.), 관할</w:t>
      </w:r>
    </w:p>
    <w:p>
      <w:pPr>
        <w:spacing w:after="80" w:line="300"/>
      </w:pPr>
      <w:r>
        <w:rPr>
          <w:rFonts w:ascii="맑은 고딕" w:cs="맑은 고딕" w:eastAsia="맑은 고딕" w:hAnsi="맑은 고딕"/>
          <w:b/>
          <w:bCs/>
          <w:sz w:val="20"/>
          <w:szCs w:val="20"/>
        </w:rPr>
        <w:t xml:space="preserve">▶ 잘한 점(유지)</w:t>
      </w:r>
    </w:p>
    <w:p>
      <w:pPr>
        <w:spacing w:after="40" w:line="300"/>
        <w:ind w:left="200"/>
      </w:pPr>
      <w:r>
        <w:rPr>
          <w:rFonts w:ascii="맑은 고딕" w:cs="맑은 고딕" w:eastAsia="맑은 고딕" w:hAnsi="맑은 고딕"/>
          <w:sz w:val="20"/>
          <w:szCs w:val="20"/>
        </w:rPr>
        <w:t xml:space="preserve">반론 15개 전부 포착 — 26-10모의 기록 판독 방향 오류가 재발하지 않음</w:t>
      </w:r>
    </w:p>
    <w:p>
      <w:pPr>
        <w:spacing w:after="40" w:line="300"/>
        <w:ind w:left="200"/>
      </w:pPr>
      <w:r>
        <w:rPr>
          <w:rFonts w:ascii="맑은 고딕" w:cs="맑은 고딕" w:eastAsia="맑은 고딕" w:hAnsi="맑은 고딕"/>
          <w:sz w:val="20"/>
          <w:szCs w:val="20"/>
        </w:rPr>
        <w:t xml:space="preserve">사해행위 소의 이익(원상회복 완료 전 권리보호이익 존속)·안분비례 배척 정확</w:t>
      </w:r>
    </w:p>
    <w:p>
      <w:pPr>
        <w:spacing w:after="40" w:line="300"/>
        <w:ind w:left="200"/>
      </w:pPr>
      <w:r>
        <w:rPr>
          <w:rFonts w:ascii="맑은 고딕" w:cs="맑은 고딕" w:eastAsia="맑은 고딕" w:hAnsi="맑은 고딕"/>
          <w:sz w:val="20"/>
          <w:szCs w:val="20"/>
        </w:rPr>
        <w:t xml:space="preserve">보증채권 수반성 + 대항요건은 주채권만 구비하면 족함 정확</w:t>
      </w:r>
    </w:p>
    <w:p>
      <w:pPr>
        <w:spacing w:after="40" w:line="300"/>
        <w:ind w:left="200"/>
      </w:pPr>
      <w:r>
        <w:rPr>
          <w:rFonts w:ascii="맑은 고딕" w:cs="맑은 고딕" w:eastAsia="맑은 고딕" w:hAnsi="맑은 고딕"/>
          <w:sz w:val="20"/>
          <w:szCs w:val="20"/>
        </w:rPr>
        <w:t xml:space="preserve">양도 제한 법리(시효취득 이전등기청구권은 통지만으로 대항) 정확</w:t>
      </w:r>
    </w:p>
    <w:p>
      <w:pPr>
        <w:spacing w:after="40" w:line="300"/>
        <w:ind w:left="200"/>
      </w:pPr>
      <w:r>
        <w:rPr>
          <w:rFonts w:ascii="맑은 고딕" w:cs="맑은 고딕" w:eastAsia="맑은 고딕" w:hAnsi="맑은 고딕"/>
          <w:sz w:val="20"/>
          <w:szCs w:val="20"/>
        </w:rPr>
        <w:t xml:space="preserve">추심금 청구취지 만점, 2025 전합(2021다252977) 인출</w:t>
      </w:r>
    </w:p>
    <w:p>
      <w:pPr>
        <w:spacing w:after="80" w:line="300"/>
      </w:pPr>
      <w:r>
        <w:rPr>
          <w:rFonts w:ascii="맑은 고딕" w:cs="맑은 고딕" w:eastAsia="맑은 고딕" w:hAnsi="맑은 고딕"/>
          <w:b/>
          <w:bCs/>
          <w:sz w:val="20"/>
          <w:szCs w:val="20"/>
        </w:rPr>
        <w:t xml:space="preserve">▶ 다음 답안 작성 전 점검 포인트</w:t>
      </w:r>
    </w:p>
    <w:p>
      <w:pPr>
        <w:spacing w:after="40" w:line="300"/>
        <w:ind w:left="200"/>
      </w:pPr>
      <w:r>
        <w:rPr>
          <w:rFonts w:ascii="맑은 고딕" w:cs="맑은 고딕" w:eastAsia="맑은 고딕" w:hAnsi="맑은 고딕"/>
          <w:sz w:val="20"/>
          <w:szCs w:val="20"/>
        </w:rPr>
        <w:t xml:space="preserve">취득시효: 완성일 계산식 명시 → 피고 = 완성 당시 소유자인지 확인</w:t>
      </w:r>
    </w:p>
    <w:p>
      <w:pPr>
        <w:spacing w:after="40" w:line="300"/>
        <w:ind w:left="200"/>
      </w:pPr>
      <w:r>
        <w:rPr>
          <w:rFonts w:ascii="맑은 고딕" w:cs="맑은 고딕" w:eastAsia="맑은 고딕" w:hAnsi="맑은 고딕"/>
          <w:sz w:val="20"/>
          <w:szCs w:val="20"/>
        </w:rPr>
        <w:t xml:space="preserve">사해행위 가액배상: 한도 문언 + min 공식, 기준 시점 = 변론종결 시</w:t>
      </w:r>
    </w:p>
    <w:p>
      <w:pPr>
        <w:spacing w:after="40" w:line="300"/>
        <w:ind w:left="200"/>
      </w:pPr>
      <w:r>
        <w:rPr>
          <w:rFonts w:ascii="맑은 고딕" w:cs="맑은 고딕" w:eastAsia="맑은 고딕" w:hAnsi="맑은 고딕"/>
          <w:sz w:val="20"/>
          <w:szCs w:val="20"/>
        </w:rPr>
        <w:t xml:space="preserve">연 6%를 쓰면 상인·상행위 근거 1줄, 취지와 동일한지 확인</w:t>
      </w:r>
    </w:p>
    <w:p>
      <w:pPr>
        <w:spacing w:after="40" w:line="300"/>
        <w:ind w:left="200"/>
      </w:pPr>
      <w:r>
        <w:rPr>
          <w:rFonts w:ascii="맑은 고딕" w:cs="맑은 고딕" w:eastAsia="맑은 고딕" w:hAnsi="맑은 고딕"/>
          <w:sz w:val="20"/>
          <w:szCs w:val="20"/>
        </w:rPr>
        <w:t xml:space="preserve">청구별 ‘다. 소결론’ + 전체 ‘결론’ 고정</w:t>
      </w:r>
    </w:p>
    <w:p>
      <w:pPr>
        <w:pStyle w:val="Heading2"/>
        <w:pBdr>
          <w:bottom w:val="single" w:color="1F3864" w:sz="6" w:space="2"/>
        </w:pBdr>
        <w:spacing w:after="120" w:before="240"/>
      </w:pPr>
      <w:r>
        <w:rPr>
          <w:rFonts w:ascii="맑은 고딕" w:cs="맑은 고딕" w:eastAsia="맑은 고딕" w:hAnsi="맑은 고딕"/>
          <w:b/>
          <w:bCs/>
          <w:color w:val="1F3864"/>
          <w:sz w:val="25"/>
          <w:szCs w:val="25"/>
        </w:rPr>
        <w:t xml:space="preserve">【부록】 모범 청구취지 전문 (채점기준표)</w:t>
      </w:r>
    </w:p>
    <w:p>
      <w:pPr>
        <w:spacing w:after="40" w:line="300"/>
        <w:ind w:left="200"/>
      </w:pPr>
      <w:r>
        <w:rPr>
          <w:rFonts w:ascii="맑은 고딕" w:cs="맑은 고딕" w:eastAsia="맑은 고딕" w:hAnsi="맑은 고딕"/>
          <w:sz w:val="20"/>
          <w:szCs w:val="20"/>
        </w:rPr>
        <w:t xml:space="preserve">1. 피고 오우석은 원고에게 별지 목록 제1항 기재 부동산에 관하여 2024. 3. 4. 취득시효 완성을 원인으로 한 소유권이전등기절차를 이행하라.</w:t>
      </w:r>
    </w:p>
    <w:p>
      <w:pPr>
        <w:spacing w:after="40" w:line="300"/>
        <w:ind w:left="200"/>
      </w:pPr>
      <w:r>
        <w:rPr>
          <w:rFonts w:ascii="맑은 고딕" w:cs="맑은 고딕" w:eastAsia="맑은 고딕" w:hAnsi="맑은 고딕"/>
          <w:sz w:val="20"/>
          <w:szCs w:val="20"/>
        </w:rPr>
        <w:t xml:space="preserve">2. 가. 김지수와 피고 김승환 사이에 별지 목록 제2항 기재 부동산에 관하여 2022. 10. 5. 체결된 매매계약을 200,000,000원의 한도 내에서 취소한다.</w:t>
      </w:r>
    </w:p>
    <w:p>
      <w:pPr>
        <w:spacing w:after="40" w:line="300"/>
        <w:ind w:left="200"/>
      </w:pPr>
      <w:r>
        <w:rPr>
          <w:rFonts w:ascii="맑은 고딕" w:cs="맑은 고딕" w:eastAsia="맑은 고딕" w:hAnsi="맑은 고딕"/>
          <w:sz w:val="20"/>
          <w:szCs w:val="20"/>
        </w:rPr>
        <w:t xml:space="preserve">    나. 피고 김승환은 원고에게 200,000,000원 및 이에 대하여 이 판결확정일 다음 날부터 다 갚는 날까지 연 5%의 비율로 계산한 돈을 지급하라.</w:t>
      </w:r>
    </w:p>
    <w:p>
      <w:pPr>
        <w:spacing w:after="40" w:line="300"/>
        <w:ind w:left="200"/>
      </w:pPr>
      <w:r>
        <w:rPr>
          <w:rFonts w:ascii="맑은 고딕" w:cs="맑은 고딕" w:eastAsia="맑은 고딕" w:hAnsi="맑은 고딕"/>
          <w:sz w:val="20"/>
          <w:szCs w:val="20"/>
        </w:rPr>
        <w:t xml:space="preserve">3. 피고 추자욱은 원고에게 150,000,000원 및 이에 대하여 2021. 6. 16.부터 이 사건 소장 부본 송달일까지는 연 6%의, 그 다음 날부터 다 갚는 날까지는 연 12%의 각 비율로 계산한 돈을 지급하라.</w:t>
      </w:r>
    </w:p>
    <w:p>
      <w:pPr>
        <w:spacing w:after="40" w:line="300"/>
        <w:ind w:left="200"/>
      </w:pPr>
      <w:r>
        <w:rPr>
          <w:rFonts w:ascii="맑은 고딕" w:cs="맑은 고딕" w:eastAsia="맑은 고딕" w:hAnsi="맑은 고딕"/>
          <w:sz w:val="20"/>
          <w:szCs w:val="20"/>
        </w:rPr>
        <w:t xml:space="preserve">4. 피고 강현수는 원고에게 155,000,000원 및 이에 대한 2024. 7. 1.부터 이 사건 소장 부본 송달일까지는 연 6%의, 그 다음 날부터 다 갚는 날까지는 연 12%의 각 비율로 계산한 돈을 지급하라.</w:t>
      </w:r>
    </w:p>
    <w:p>
      <w:pPr>
        <w:spacing w:after="40" w:line="300"/>
        <w:ind w:left="200"/>
      </w:pPr>
      <w:r>
        <w:rPr>
          <w:rFonts w:ascii="맑은 고딕" w:cs="맑은 고딕" w:eastAsia="맑은 고딕" w:hAnsi="맑은 고딕"/>
          <w:sz w:val="20"/>
          <w:szCs w:val="20"/>
        </w:rPr>
        <w:t xml:space="preserve">5. 소송비용은 피고들이 부담한다.</w:t>
      </w:r>
    </w:p>
    <w:p>
      <w:pPr>
        <w:spacing w:after="40" w:line="300"/>
        <w:ind w:left="200"/>
      </w:pPr>
      <w:r>
        <w:rPr>
          <w:rFonts w:ascii="맑은 고딕" w:cs="맑은 고딕" w:eastAsia="맑은 고딕" w:hAnsi="맑은 고딕"/>
          <w:sz w:val="20"/>
          <w:szCs w:val="20"/>
        </w:rPr>
        <w:t xml:space="preserve">6. 제3, 4항은 각 가집행할 수 있다.</w:t>
      </w:r>
    </w:p>
    <w:p>
      <w:pPr>
        <w:spacing w:after="40" w:line="300"/>
        <w:ind w:left="200"/>
      </w:pPr>
      <w:r>
        <w:rPr>
          <w:rFonts w:ascii="맑은 고딕" w:cs="맑은 고딕" w:eastAsia="맑은 고딕" w:hAnsi="맑은 고딕"/>
          <w:sz w:val="20"/>
          <w:szCs w:val="20"/>
        </w:rPr>
        <w:t xml:space="preserve">라는 판결을 구합니다.</w:t>
      </w:r>
    </w:p>
    <w:p>
      <w:pPr>
        <w:spacing w:after="80" w:line="300"/>
        <w:ind w:left="200"/>
      </w:pPr>
      <w:r>
        <w:rPr>
          <w:rFonts w:ascii="맑은 고딕" w:cs="맑은 고딕" w:eastAsia="맑은 고딕" w:hAnsi="맑은 고딕"/>
          <w:color w:val="595959"/>
          <w:sz w:val="19"/>
          <w:szCs w:val="19"/>
        </w:rPr>
        <w:t xml:space="preserve">1항 등기원인 일자는 2024. 3. 4.부터 소 제기일까지의 날짜 모두 정답(대판 1998. 5. 12. 97다8496, 8502).</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2026-10-29T09:16:51.088Z</dcterms:created>
  <dcterms:modified xsi:type="dcterms:W3CDTF">2026-10-29T09:16:51.093Z</dcterms:modified>
</cp:coreProperties>
</file>

<file path=docProps/custom.xml><?xml version="1.0" encoding="utf-8"?>
<Properties xmlns="http://schemas.openxmlformats.org/officeDocument/2006/custom-properties" xmlns:vt="http://schemas.openxmlformats.org/officeDocument/2006/docPropsVTypes"/>
</file>