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595959"/>
          <w:sz w:val="24"/>
          <w:szCs w:val="24"/>
        </w:rPr>
        <w:t xml:space="preserve">2026 제1차 모의 · 형사법</w:t>
      </w:r>
    </w:p>
    <w:p>
      <w:pPr>
        <w:spacing w:after="40"/>
        <w:jc w:val="center"/>
      </w:pPr>
      <w:r>
        <w:rPr>
          <w:b/>
          <w:bCs/>
          <w:color w:val="1F3864"/>
          <w:sz w:val="42"/>
          <w:szCs w:val="42"/>
        </w:rPr>
        <w:t xml:space="preserve">취약 판례 복습 시트</w:t>
      </w:r>
    </w:p>
    <w:p>
      <w:pPr>
        <w:spacing w:after="180"/>
        <w:jc w:val="center"/>
      </w:pPr>
      <w:r>
        <w:rPr>
          <w:color w:val="595959"/>
          <w:sz w:val="20"/>
          <w:szCs w:val="20"/>
        </w:rPr>
        <w:t xml:space="preserve">사례형·기록형에서 틀리거나 놓친 판례만 · 주제별 정리</w:t>
      </w:r>
    </w:p>
    <w:p>
      <w:pPr>
        <w:pBdr>
          <w:bottom w:val="single" w:color="2E75B6" w:sz="6" w:space="1"/>
        </w:pBdr>
        <w:spacing w:after="140"/>
      </w:pPr>
      <w:r>
        <w:t xml:space="preserve"/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● 사용법: </w:t>
      </w:r>
      <w:r>
        <w:rPr>
          <w:sz w:val="22"/>
          <w:szCs w:val="22"/>
        </w:rPr>
        <w:t xml:space="preserve">판시 요지는 전부 채점기준표 원문에서 인용했습니다(임의 생성 없음). 각 카드는 '판시 요지 → 내 답안 문제 → 암기 포인트' 순입니다. 태그는 [오답]=주문/결론을 틀림(최우선), [누락]=논점 자체를 안 씀, [보완]=결론은 맞으나 논거·조문 미흡.</w:t>
      </w:r>
    </w:p>
    <w:p>
      <w:pPr>
        <w:spacing w:after="90"/>
      </w:pPr>
      <w:r>
        <w:rPr>
          <w:b/>
          <w:bCs/>
          <w:color w:val="2E75B6"/>
          <w:sz w:val="22"/>
          <w:szCs w:val="22"/>
        </w:rPr>
        <w:t xml:space="preserve">● 학습 동선: </w:t>
      </w:r>
      <w:r>
        <w:rPr>
          <w:sz w:val="22"/>
          <w:szCs w:val="22"/>
        </w:rPr>
        <w:t xml:space="preserve">① A그룹(주문을 바꾸는 판례)부터 — 여기만 잡아도 두 시험 합쳐 원점수 20점 이상 직결. ② 이후 주제별로 묶어 이해. ③ 맨 끝 '이미 확보한 판례'는 눈으로만 확인.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A. 주문(결론)을 바꾸는 판례 — 최우선</w:t>
      </w:r>
    </w:p>
    <w:p>
      <w:pPr>
        <w:spacing w:after="100" w:before="0"/>
      </w:pPr>
      <w:r>
        <w:rPr>
          <w:i/>
          <w:iCs/>
          <w:color w:val="595959"/>
          <w:sz w:val="20"/>
          <w:szCs w:val="20"/>
        </w:rPr>
        <w:t xml:space="preserve">면소·공소기각·무죄·유죄의 갈림을 결정하는 판례들. 이번 시험에서 결론 자체가 틀린 지점입니다.</w:t>
      </w:r>
    </w:p>
    <w:p>
      <w:pPr>
        <w:pStyle w:val="Heading3"/>
        <w:spacing w:after="70" w:before="200"/>
      </w:pPr>
      <w:r>
        <w:t xml:space="preserve">대법원 2012도4842 — 대향범과 공소시효 정지(형소법 §253②)</w:t>
      </w:r>
      <w:r>
        <w:rPr>
          <w:b/>
          <w:bCs/>
          <w:color w:val="B8860B"/>
          <w:sz w:val="20"/>
          <w:szCs w:val="20"/>
        </w:rPr>
        <w:t xml:space="preserve">  [누락]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공범의 1인에 대한 시효정지는 다른 공범에 대해 효력이 미치고 당해사건 재판이 확정된 때부터 진행하나(§253②), 여기서 '공범'에는 뇌물수수·뇌물공여와 같은 대향범 관계에 있는 자는 포함되지 않는다.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김갑동 2018년 2,000만원 부분에서 시효완성·면소만 쓰고, '공범(이을남) 기소·확정까지 시효정지된다'는 검사 주장을 반박하지 못함.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대향범(수수↔공여)은 §253② '공범'이 아니다 → 상대방이 기소·확정돼도 내 공소시효는 정지되지 않는다.</w:t>
      </w:r>
    </w:p>
    <w:p>
      <w:pPr>
        <w:pStyle w:val="Heading3"/>
        <w:spacing w:after="70" w:before="200"/>
      </w:pPr>
      <w:r>
        <w:t xml:space="preserve">대법원 83도1378 (취지) — 공무상비밀누설 ↔ 수뢰후부정처사 = 상상적 경합</w:t>
      </w:r>
      <w:r>
        <w:rPr>
          <w:b/>
          <w:bCs/>
          <w:color w:val="C00000"/>
          <w:sz w:val="20"/>
          <w:szCs w:val="20"/>
        </w:rPr>
        <w:t xml:space="preserve">  [오답]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공무상비밀누설과 수뢰후부정처사는 상상적 경합 관계이다. 상상적 경합의 일부에 대한 확정판결의 기판력은 나머지 부분에도 미친다. 이미 공무상비밀누설로 선고유예가 확정되었다면 그 기판력이 수뢰후부정처사에도 미친다.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수뢰후부정처사를 '사실 인정 곤란 → 무죄'로 처리(주문 자체가 틀림).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확정된 공무상비밀누설과 상상적 경합 → 기판력 → 형소법 §326①(확정판결) 면소.</w:t>
      </w:r>
    </w:p>
    <w:p>
      <w:pPr>
        <w:pStyle w:val="Heading3"/>
        <w:spacing w:after="70" w:before="200"/>
      </w:pPr>
      <w:r>
        <w:t xml:space="preserve">기판력 확장 부정 (단순범) — 상습범 아닌 단순범의 기판력 범위</w:t>
      </w:r>
      <w:r>
        <w:rPr>
          <w:b/>
          <w:bCs/>
          <w:color w:val="C00000"/>
          <w:sz w:val="20"/>
          <w:szCs w:val="20"/>
        </w:rPr>
        <w:t xml:space="preserve">  [오답]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상습범이 아닌 기본 구성요건의 범죄로 처단되는 데 그친 경우에는, 그 기판력이 사실심 판결선고 전의 나머지 범죄에까지 미친다고 보아서는 안 된다.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이을남 2025.5.1. 사기를 '포괄일죄 기판력 → 면소'로 오인. 확정 전과가 단순사기(벌금)라 포괄일죄 기판력이 없는데 상습범처럼 취급.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확정 전과가 '단순범'이면 포괄일죄 기판력 확장 없음 → 유죄 인정 + 형법 §39①후단(사후적 경합범)으로 형 감면 요청.</w:t>
      </w:r>
    </w:p>
    <w:p>
      <w:pPr>
        <w:pStyle w:val="Heading3"/>
        <w:spacing w:after="70" w:before="200"/>
      </w:pPr>
      <w:r>
        <w:t xml:space="preserve">대법원 2020도8728 — 출소 당일 재범과 누범(형법 §35①)</w:t>
      </w:r>
      <w:r>
        <w:rPr>
          <w:b/>
          <w:bCs/>
          <w:color w:val="C00000"/>
          <w:sz w:val="20"/>
          <w:szCs w:val="20"/>
        </w:rPr>
        <w:t xml:space="preserve">  [오답]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형법 §35① '형집행 종료 후'는 '형집행 종료일 후(다음 날)'를 의미하므로, 형집행 종료일에 출소하여 같은 날 다시 죄를 범하였더라도 누범으로 볼 수 없고, 누범기간의 기산점도 형집행 종료일의 다음 날이다.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이을남 폭행재범에서 누범 해당성(4점)을 통째로 누락하고, 폭처법(폭행재범)을 반의사불벌죄로 오해해 §327②로 처리.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출소 당일 재범 = 누범 아님 → 폭행재범 §325전단 무죄 → 축소사실 폭행 → (폭행은 반의사불벌) 법정 처벌불원 → §327⑥ 공소기각. ※폭행재범 자체는 반의사불벌죄 아님.</w:t>
      </w:r>
    </w:p>
    <w:p>
      <w:pPr>
        <w:pStyle w:val="Heading3"/>
        <w:spacing w:after="70" w:before="200"/>
      </w:pPr>
      <w:r>
        <w:t xml:space="preserve">대법원 2005도7473 — 상고심의 파기 범위(일부 유죄·일부 무죄)</w:t>
      </w:r>
      <w:r>
        <w:rPr>
          <w:b/>
          <w:bCs/>
          <w:color w:val="2E75B6"/>
          <w:sz w:val="20"/>
          <w:szCs w:val="20"/>
        </w:rPr>
        <w:t xml:space="preserve">  [보완]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실체적 경합범 중 일부 유죄(피고인 상고)·일부 무죄(검사 상고)인 경우, 유죄부분 상고가 이유 없더라도 무죄부분 검사 상고가 이유 있으면 피고인에게 하나의 형이 선고되어야 하는 관계로 무죄부분뿐 아니라 유죄부분도 함께 파기되어야 한다.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사례형에서 'ㄷ죄만 파기'로 결론(하나의 형 관계면 유죄부분도 함께 파기가 정답 방향).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하나의 형이 선고되는 관계면, 무죄부분 파기 시 유죄부분도 함께 파기. ※실제 죄수관계는 지문 확인.</w:t>
      </w:r>
    </w:p>
    <w:p>
      <w:r>
        <w:br w:type="page"/>
      </w:r>
    </w:p>
    <w:p>
      <w:pPr>
        <w:pStyle w:val="Heading1"/>
      </w:pPr>
      <w:r>
        <w:t xml:space="preserve">B. 대향범·공범·신분범</w:t>
      </w:r>
    </w:p>
    <w:p>
      <w:pPr>
        <w:pStyle w:val="Heading3"/>
        <w:spacing w:after="70" w:before="200"/>
      </w:pPr>
      <w:r>
        <w:t xml:space="preserve">대법원 2020도7866 — 단독범이 대향범 형태로 실현된 경우 공범규정 적용</w:t>
      </w:r>
      <w:r>
        <w:rPr>
          <w:b/>
          <w:bCs/>
          <w:color w:val="B8860B"/>
          <w:sz w:val="20"/>
          <w:szCs w:val="20"/>
        </w:rPr>
        <w:t xml:space="preserve">  [누락]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원래 단독으로 범할 수 있는 구성요건이 구체적 사례에서 대향범 형태로 실현된 경우에는 형법총칙의 임의적 공범규정 적용이 긍정된다(마약거래방지법상 불법수익 은닉·가장죄).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사례형 丁의 죄책을 '대향범이면 무죄'로 결론(적극 가담한 방조자 성립 방향을 놓침).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'구성요건상 단독범'인데 사안에서 대향 형태로 실현 → 총칙 공범규정 적용 → 적극가담 방조자에게 방조 성립 가능. (원래부터 대향범인 죄와 구별!)</w:t>
      </w:r>
    </w:p>
    <w:p>
      <w:pPr>
        <w:pStyle w:val="Heading3"/>
        <w:spacing w:after="70" w:before="200"/>
      </w:pPr>
      <w:r>
        <w:t xml:space="preserve">대법원 2011도11857 — 제3자뇌물교부의 뇌물공여 흡수</w:t>
      </w:r>
      <w:r>
        <w:rPr>
          <w:b/>
          <w:bCs/>
          <w:color w:val="B8860B"/>
          <w:sz w:val="20"/>
          <w:szCs w:val="20"/>
        </w:rPr>
        <w:t xml:space="preserve">  [누락]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제3자가 증뢰자로부터 교부받은 금품을 수뢰자에게 실제 전달하였다면, 증뢰자의 제3자뇌물교부 범행은 뇌물공여 범행에 흡수되어 뇌물공여죄만 성립한다.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이을남 제3자뇌물교부를 전액 유죄로 뭉뚱그림.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전달분(2,000만)은 뇌물공여에 흡수 → 미전달분(1,000만)만 제3자뇌물교부 유죄.</w:t>
      </w:r>
    </w:p>
    <w:p>
      <w:pPr>
        <w:pStyle w:val="Heading3"/>
        <w:spacing w:after="70" w:before="200"/>
      </w:pPr>
      <w:r>
        <w:t xml:space="preserve">대법원 97도1572 — 제3자뇌물취득의 성립시기·별죄 불성립</w:t>
      </w:r>
      <w:r>
        <w:rPr>
          <w:b/>
          <w:bCs/>
          <w:color w:val="B8860B"/>
          <w:sz w:val="20"/>
          <w:szCs w:val="20"/>
        </w:rPr>
        <w:t xml:space="preserve">  [누락]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제3자뇌물취득죄는 제3자가 정을 알면서 금품을 교부받음으로써 성립하고(수뢰자에게 전달했는지 무관), 그 교부받은 금품을 수뢰자에게 전달하였다고 하여 제3자뇌물취득죄 외에 별도로 뇌물공여죄가 성립하지 않는다.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김갑동 '뇌물공여의 점'을 공란으로 미작성.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3,000만 취득 순간 제3자뇌물취득 완성 → 2,000만 전달해도 뇌물공여 별도 불성립 → §325전단 무죄.</w:t>
      </w:r>
    </w:p>
    <w:p>
      <w:pPr>
        <w:pStyle w:val="Heading3"/>
        <w:spacing w:after="70" w:before="200"/>
      </w:pPr>
      <w:r>
        <w:t xml:space="preserve">뇌물 신분범 공범 (형법 §33·§31) — 비신분자가 공무원을 이용/교사</w:t>
      </w:r>
      <w:r>
        <w:rPr>
          <w:b/>
          <w:bCs/>
          <w:color w:val="C00000"/>
          <w:sz w:val="20"/>
          <w:szCs w:val="20"/>
        </w:rPr>
        <w:t xml:space="preserve">  [오답]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신분 없는 자가 신분 있는 자(공무원)에게 가담한 경우 §33에 의해 비신분자에게도 수뢰죄의 교사범이 성립한다. 또한 필요적 공범(수뢰자에 대한 관계)으로는 무죄이더라도, 증뢰자에 대한 관계에서는 뇌물공여죄의 교사범이 성립한다.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사례형 뇌물 문제에서 甲(받은 자)을 증뢰죄로, 乙을 변호사법위반으로 오해. 甲·乙을 '부부'로 오독.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甲=수뢰죄(고의결여 시 불성립) / 乙=수뢰죄 교사범(§33)+뇌물공여죄 교사범(§31) / 丙=뇌물공여죄. ※기소된 신분관계를 지문에서 정독.</w:t>
      </w:r>
    </w:p>
    <w:p>
      <w:pPr>
        <w:pStyle w:val="Heading3"/>
        <w:spacing w:after="70" w:before="200"/>
      </w:pPr>
      <w:r>
        <w:t xml:space="preserve">대법원 2007도10804 — 필요적 공범과 상대방의 책임</w:t>
      </w:r>
      <w:r>
        <w:rPr>
          <w:b/>
          <w:bCs/>
          <w:color w:val="2E75B6"/>
          <w:sz w:val="20"/>
          <w:szCs w:val="20"/>
        </w:rPr>
        <w:t xml:space="preserve">  [보완]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뇌물공여죄와 뇌물수수죄는 필요적 공범이나, 필요적 공범은 행위의 공동을 필요로 할 뿐 협력자 전부가 책임 있음을 요하지 않는다. 오로지 공무원을 함정에 빠뜨릴 의사로 금품을 공여한 경우에도 공무원이 직무관련 수수의사로 받아들이면 뇌물수수죄가 성립한다.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필요적 공범은 상대방의 범죄성립·책임과 무관하게 각자 성부를 판단 → 甲의 수뢰 불성립(고의결여)이 丙의 증뢰 성립을 막지 않는다.</w:t>
      </w:r>
    </w:p>
    <w:p>
      <w:r>
        <w:br w:type="page"/>
      </w:r>
    </w:p>
    <w:p>
      <w:pPr>
        <w:pStyle w:val="Heading1"/>
      </w:pPr>
      <w:r>
        <w:t xml:space="preserve">C. 과실범 (사례형 문제1)</w:t>
      </w:r>
    </w:p>
    <w:p>
      <w:pPr>
        <w:pStyle w:val="Heading3"/>
        <w:spacing w:after="70" w:before="200"/>
      </w:pPr>
      <w:r>
        <w:t xml:space="preserve">대법원 2024도1856 (가습기살균제) — 과실범 공동정범의 요건 강화</w:t>
      </w:r>
      <w:r>
        <w:rPr>
          <w:b/>
          <w:bCs/>
          <w:color w:val="B8860B"/>
          <w:sz w:val="20"/>
          <w:szCs w:val="20"/>
        </w:rPr>
        <w:t xml:space="preserve">  [누락]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과실범의 공동정범이 인정되려면 '의사의 연락 또는 주의의무위반에 대한 공동의 인식'이 있어야 하며, 그것이 없으면 「공동하여」 죄를 범하였다고 볼 수 없다(종래의 폭넓은 인정에서 요건을 강화).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전통적 공동정범 요건론(공동가공의사+기능적 행위지배)만으로 불성립을 결론(최신 법리 미반영).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과실범 공동정범 = '주의의무위반에 대한 공동의 인식'이 관건. 이 최신 판례를 축으로 검토.</w:t>
      </w:r>
    </w:p>
    <w:p>
      <w:pPr>
        <w:pStyle w:val="Heading3"/>
        <w:spacing w:after="70" w:before="200"/>
      </w:pPr>
      <w:r>
        <w:t xml:space="preserve">대법원 90도2856 — 과실범 인과관계 = 적법한 대체행위 법리</w:t>
      </w:r>
      <w:r>
        <w:rPr>
          <w:b/>
          <w:bCs/>
          <w:color w:val="B8860B"/>
          <w:sz w:val="20"/>
          <w:szCs w:val="20"/>
        </w:rPr>
        <w:t xml:space="preserve">  [누락]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설사 피고인이 중앙선을 침범하지 않고 정상 차선으로 달렸더라도 사고를 피할 수 없었다면, 중앙선 침범 운전만으로는 사고의 직접적 원인이 되었다고 할 수 없다(주의에 합치되는 행위를 했어도 결과가 발생했을 것이면 인과관계 부정).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일반 고의범식 상당인과관계로만 처리하고, 과실범 특유의 '적법한 대체행위' 논증을 하지 않음.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과실범 인과관계는 '회피조치를 했더라면 결과를 회피할 수 있었음이 합리적 의심 없이 증명'되어야 인정(적법한 대체행위/회피가능성).</w:t>
      </w:r>
    </w:p>
    <w:p>
      <w:pPr>
        <w:pStyle w:val="Heading3"/>
        <w:spacing w:after="70" w:before="200"/>
      </w:pPr>
      <w:r>
        <w:t xml:space="preserve">부산지법 2023노274 (관련) — 선행행위에 의한 작위의무·상당인과관계</w:t>
      </w:r>
      <w:r>
        <w:rPr>
          <w:b/>
          <w:bCs/>
          <w:color w:val="B8860B"/>
          <w:sz w:val="20"/>
          <w:szCs w:val="20"/>
        </w:rPr>
        <w:t xml:space="preserve">  [누락]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선행행위가 위법하지 않더라도 그로 인해 법익침해 발생 위험이 상당히 증가하고 그 선행행위가 법익침해와 밀접히 관련되면 보증인 지위가 발생한다(피해자를 모텔로 옮겨 타인에 의한 구조가능성을 차단한 이상 조리상 구호의무 인정). 여기의 상당인과관계는 논리적 조건관계가 아니라 결과에 대한 법적 책임 귀속의 타당성을 의미한다.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작위의무를 '함께 술을 마셔 조리상 의무'라는 약한 논거로만 인정, '모텔 이동=구조가능성 차단' 프레임 부재.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선행행위(모텔 이동=구조가능성 차단) → 작위의무. 상당인과관계 = 결과의 법적 귀속 타당성.</w:t>
      </w:r>
    </w:p>
    <w:p>
      <w:r>
        <w:br w:type="page"/>
      </w:r>
    </w:p>
    <w:p>
      <w:pPr>
        <w:pStyle w:val="Heading1"/>
      </w:pPr>
      <w:r>
        <w:t xml:space="preserve">D. 재산범죄·특별법</w:t>
      </w:r>
    </w:p>
    <w:p>
      <w:pPr>
        <w:pStyle w:val="Heading3"/>
        <w:spacing w:after="70" w:before="200"/>
      </w:pPr>
      <w:r>
        <w:t xml:space="preserve">대법원 2024도19846 — 타인 카드 무단 온라인 대출 = 컴퓨터등사용사기</w:t>
      </w:r>
      <w:r>
        <w:rPr>
          <w:b/>
          <w:bCs/>
          <w:color w:val="B8860B"/>
          <w:sz w:val="20"/>
          <w:szCs w:val="20"/>
        </w:rPr>
        <w:t xml:space="preserve">  [누락]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금융기관 등의 애플리케이션에 타인의 승낙 없이 타인의 인적사항·신용카드번호·비밀번호 등을 입력하여 신용대출을 받아 재산상 이익을 취득하는 행위는, 권한 없이 정보를 입력하여 정보처리를 하게 함으로써 재산상 이익을 취득한 것으로 컴퓨터등사용사기죄(형법 §347의2)에 해당한다.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사례형 문제2에서 배점 8점의 컴퓨터등사용사기죄를 통째로 누락(신용카드부정사용죄만 씀).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乙(타인) 카드 무단 온라인 대출 = 컴사기죄. ↔ 본인이 앱으로 대출한 경우엔 '사람을 기망'한 바 없어 사기죄 불성립(2024도18441)과 구별.</w:t>
      </w:r>
    </w:p>
    <w:p>
      <w:pPr>
        <w:pStyle w:val="Heading3"/>
        <w:spacing w:after="70" w:before="200"/>
      </w:pPr>
      <w:r>
        <w:t xml:space="preserve">대법원 96도1181 — 신용카드부정사용죄 ↔ (컴)사기죄 죄수</w:t>
      </w:r>
      <w:r>
        <w:rPr>
          <w:b/>
          <w:bCs/>
          <w:color w:val="B8860B"/>
          <w:sz w:val="20"/>
          <w:szCs w:val="20"/>
        </w:rPr>
        <w:t xml:space="preserve">  [누락]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신용카드부정사용죄와 사기죄는 그 보호법익이나 행위의 태양이 전혀 달라 실체적 경합관계에 있다.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컴사기죄를 놓쳐 죄수 논의(여전법위반 vs 컴사기)를 하지 못함.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여신전문금융업법위반 vs 컴퓨터등사용사기 = 실체적 경합.</w:t>
      </w:r>
    </w:p>
    <w:p>
      <w:pPr>
        <w:pStyle w:val="Heading3"/>
        <w:spacing w:after="70" w:before="200"/>
      </w:pPr>
      <w:r>
        <w:t xml:space="preserve">대법원 2012도1895 — 불가벌적 수반행위(흡수관계)의 개념</w:t>
      </w:r>
      <w:r>
        <w:rPr>
          <w:b/>
          <w:bCs/>
          <w:color w:val="C00000"/>
          <w:sz w:val="20"/>
          <w:szCs w:val="20"/>
        </w:rPr>
        <w:t xml:space="preserve">  [오답]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불가벌적 수반행위란 법조경합 중 흡수관계로서, 어떤 죄를 범하면 일반적·전형적으로 다른 구성요건을 충족하고 그 불법·책임이 주된 범죄에 비해 경미해 별도 처벌이 고려되지 않는 경우를 말한다.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특수절도의 손괴를 '특수절도에 흡수'로 처리했으나, 채기표는 손괴가 절도의 불가벌적 수반행위가 아니라고 봄.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자동차 절도방지시스템 손괴는 절도에 흡수되지 않음 → 손괴·절도·(사기) 실체적 경합.</w:t>
      </w:r>
    </w:p>
    <w:p>
      <w:pPr>
        <w:pStyle w:val="Heading3"/>
        <w:spacing w:after="70" w:before="200"/>
      </w:pPr>
      <w:r>
        <w:t xml:space="preserve">대법원 86도628 — 불법원인급여물의 횡령죄 불성립</w:t>
      </w:r>
      <w:r>
        <w:rPr>
          <w:b/>
          <w:bCs/>
          <w:color w:val="2E75B6"/>
          <w:sz w:val="20"/>
          <w:szCs w:val="20"/>
        </w:rPr>
        <w:t xml:space="preserve">  [보완]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민법 §746 불법원인급여로 급여한 물건의 소유권은 급여받은 상대방에게 귀속되므로, 제3자뇌물취득으로 취득한 금원을 수뢰자에게 전달하지 않고 타에 소비하였다고 하더라도 횡령죄가 성립하지 않는다.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김갑동 횡령을 '신임관계 부재(보관자 지위 부정)'로만 접근(결론은 무죄로 일치하나 채점 논거와 상이).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불법원인급여 → 소유권이 수령자에게 귀속 → '타인의 재물'이 아님 → 횡령 불성립(§325전단 무죄).</w:t>
      </w:r>
    </w:p>
    <w:p>
      <w:pPr>
        <w:pStyle w:val="Heading3"/>
        <w:spacing w:after="70" w:before="200"/>
      </w:pPr>
      <w:r>
        <w:t xml:space="preserve">대법원 2016도21075 — 공소장 변경 없는 직권 간접정범 인정</w:t>
      </w:r>
      <w:r>
        <w:rPr>
          <w:b/>
          <w:bCs/>
          <w:color w:val="2E75B6"/>
          <w:sz w:val="20"/>
          <w:szCs w:val="20"/>
        </w:rPr>
        <w:t xml:space="preserve">  [보완]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법원은 공소장 변경 없이 직권으로 (허위공문서작성의) 간접정범을 인정할 수 있다.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허위공문서작성에서 간접정범 성립까지만 쓰고, '직접정범 기소 → 공소장변경 없이 직권 간접정범 인정' 절차 쟁점을 누락.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직접정범으로 기소돼도 공소장변경 없이 직권으로 간접정범 유죄 인정 가능.</w:t>
      </w:r>
    </w:p>
    <w:p>
      <w:r>
        <w:br w:type="page"/>
      </w:r>
    </w:p>
    <w:p>
      <w:pPr>
        <w:pStyle w:val="Heading1"/>
      </w:pPr>
      <w:r>
        <w:t xml:space="preserve">E. 증거법</w:t>
      </w:r>
    </w:p>
    <w:p>
      <w:pPr>
        <w:pStyle w:val="Heading3"/>
        <w:spacing w:after="70" w:before="200"/>
      </w:pPr>
      <w:r>
        <w:t xml:space="preserve">대법원 2024도19106 — 변호인 참여권 침해와 증거능력의 예외</w:t>
      </w:r>
      <w:r>
        <w:rPr>
          <w:b/>
          <w:bCs/>
          <w:color w:val="B8860B"/>
          <w:sz w:val="20"/>
          <w:szCs w:val="20"/>
        </w:rPr>
        <w:t xml:space="preserve">  [누락]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변호인의 압수·수색 참여권(§219·§121)은 고유권으로 그 침해는 원칙적으로 위법수집증거이나, 수사기관의 절차 위반이 적법절차의 실질적 내용을 침해하지 않고 오히려 증거배제가 형사사법정의 실현 취지에 반하는 예외적 경우 또는 2차 증거와의 인과관계 희석·단절이 인정되는 경우에는 법원이 유죄의 증거로 사용할 수 있다.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사례형에서 '위법 → 증거능력 없음'으로 원칙만 단정하고 예외 법리를 누락.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원칙(고유권 침해=위법수집증거) + 예외(적법절차 실질침해 아님·희석·단절 시 사용 가능)의 2단 구성.</w:t>
      </w:r>
    </w:p>
    <w:p>
      <w:pPr>
        <w:pStyle w:val="Heading3"/>
        <w:spacing w:after="70" w:before="200"/>
      </w:pPr>
      <w:r>
        <w:t xml:space="preserve">대법원 2013도5001 — 형소법 §314 '소재불명' 요건의 엄격성</w:t>
      </w:r>
      <w:r>
        <w:rPr>
          <w:b/>
          <w:bCs/>
          <w:color w:val="B8860B"/>
          <w:sz w:val="20"/>
          <w:szCs w:val="20"/>
        </w:rPr>
        <w:t xml:space="preserve">  [누락]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형소법 §314의 소재불명 등으로 진술할 수 없는 때에 해당한다고 인정하려면 단순한 송달불능만으로는 부족하며, 소재탐지촉탁 결과가 회신되지 않은 상태에서의 송달불능 사유만으로는 소재불명이라 인정하기 부족하다.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이을남 음주운전에서 주사랑 조서를 §312④(진정성립)만으로 배제하고, §314 소재불명 엄격 요건을 논하지 않음.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§314 소재불명 = 송달불능+소재탐지 등 충분한 노력에도 불명이어야. 촉탁 미회신 상태의 단순 송달불능은 부족.</w:t>
      </w:r>
    </w:p>
    <w:p>
      <w:pPr>
        <w:pStyle w:val="Heading3"/>
        <w:spacing w:after="70" w:before="200"/>
      </w:pPr>
      <w:r>
        <w:t xml:space="preserve">체포현장 압수 + 사후영장 (형소법 §216①2호) — 통화녹음파일 증거능력</w:t>
      </w:r>
      <w:r>
        <w:rPr>
          <w:b/>
          <w:bCs/>
          <w:color w:val="B8860B"/>
          <w:sz w:val="20"/>
          <w:szCs w:val="20"/>
        </w:rPr>
        <w:t xml:space="preserve">  [누락]</w:t>
      </w:r>
    </w:p>
    <w:p>
      <w:pPr>
        <w:spacing w:after="90"/>
      </w:pPr>
      <w:r>
        <w:rPr>
          <w:b/>
          <w:bCs/>
          <w:color w:val="1F3864"/>
          <w:sz w:val="22"/>
          <w:szCs w:val="22"/>
        </w:rPr>
        <w:t xml:space="preserve">판시 요지 </w:t>
      </w:r>
      <w:r>
        <w:rPr>
          <w:sz w:val="22"/>
          <w:szCs w:val="22"/>
        </w:rPr>
        <w:t xml:space="preserve">체포현장에서는 영장 없이 압수할 수 있으나(§216①2호), 체포한 때로부터 48시간 이내에 사후영장을 청구하여 발부받았어야 하고, 이를 청구하지 않았다면 그 압수물(통화녹음파일)은 증거능력이 없다.</w:t>
      </w:r>
    </w:p>
    <w:p>
      <w:pPr>
        <w:spacing w:after="90"/>
      </w:pPr>
      <w:r>
        <w:rPr>
          <w:b/>
          <w:bCs/>
          <w:color w:val="C00000"/>
          <w:sz w:val="22"/>
          <w:szCs w:val="22"/>
        </w:rPr>
        <w:t xml:space="preserve">내 답안 문제 </w:t>
      </w:r>
      <w:r>
        <w:rPr>
          <w:sz w:val="22"/>
          <w:szCs w:val="22"/>
        </w:rPr>
        <w:t xml:space="preserve">김갑동 5,000만원 부분에서 통화녹음파일의 증거능력 배제를 아예 다루지 않음.</w:t>
      </w:r>
    </w:p>
    <w:p>
      <w:pPr>
        <w:spacing w:after="90"/>
      </w:pPr>
      <w:r>
        <w:rPr>
          <w:b/>
          <w:bCs/>
          <w:color w:val="2E7D32"/>
          <w:sz w:val="22"/>
          <w:szCs w:val="22"/>
        </w:rPr>
        <w:t xml:space="preserve">암기 포인트 </w:t>
      </w:r>
      <w:r>
        <w:rPr>
          <w:sz w:val="22"/>
          <w:szCs w:val="22"/>
        </w:rPr>
        <w:t xml:space="preserve">체포현장 무영장 압수도 48시간 내 사후영장 없으면 위법수집증거.</w:t>
      </w:r>
    </w:p>
    <w:p>
      <w:r>
        <w:br w:type="page"/>
      </w:r>
    </w:p>
    <w:p>
      <w:pPr>
        <w:pStyle w:val="Heading1"/>
      </w:pPr>
      <w:r>
        <w:t xml:space="preserve">부록. 이미 정확히 쓴 판례 (눈으로만 확인)</w:t>
      </w:r>
    </w:p>
    <w:p>
      <w:pPr>
        <w:spacing w:after="100" w:before="0"/>
      </w:pPr>
      <w:r>
        <w:rPr>
          <w:i/>
          <w:iCs/>
          <w:color w:val="595959"/>
          <w:sz w:val="20"/>
          <w:szCs w:val="20"/>
        </w:rPr>
        <w:t xml:space="preserve">아래는 이번 답안에서 법리·결론을 정확히 처리한 판례입니다. 재학습보다 '유지' 대상이니 빠르게 훑고 넘어가세요.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9"/>
          <w:sz w:val="22"/>
          <w:szCs w:val="22"/>
        </w:rPr>
        <w:t xml:space="preserve">2002도995 — 작위·부작위 구별(물리적·화학적 작용으로 적극적 법익 악화 시 작위 원칙). ※단, 사안 포섭은 '모텔 이동=선행행위'로 잡을 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9"/>
          <w:sz w:val="22"/>
          <w:szCs w:val="22"/>
        </w:rPr>
        <w:t xml:space="preserve">95도2551 — 작위의무의 근거(법령·법률행위·선행행위는 물론 조리·사회상규상 의무도 법적 작위의무).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9"/>
          <w:sz w:val="22"/>
          <w:szCs w:val="22"/>
        </w:rPr>
        <w:t xml:space="preserve">2020도12630 전합 — 공동거주자의 공동주거 출입은 사실상 평온 침해 아님(공동주거침입 불성립).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9"/>
          <w:sz w:val="22"/>
          <w:szCs w:val="22"/>
        </w:rPr>
        <w:t xml:space="preserve">91도2837 — 허위공문서작성의 간접정범(정을 모르는 상사에게 허위 초안 결재하게 한 보좌자).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9"/>
          <w:sz w:val="22"/>
          <w:szCs w:val="22"/>
        </w:rPr>
        <w:t xml:space="preserve">2024도18441 — 앱 자동 대출은 사람의 기망·착오·처분 없어 사기죄 불성립.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9"/>
          <w:sz w:val="22"/>
          <w:szCs w:val="22"/>
        </w:rPr>
        <w:t xml:space="preserve">95도997 — 절취한 신용카드를 본래 용법대로 사용하면 신용카드부정사용죄(불법영득의사 부정돼도 성립).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9"/>
          <w:sz w:val="22"/>
          <w:szCs w:val="22"/>
        </w:rPr>
        <w:t xml:space="preserve">2010도2094 — 위법 강제연행 상태의 채혈은 피고인이 요구해도 인과관계 단절 아님(위법수집증거).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9"/>
          <w:sz w:val="22"/>
          <w:szCs w:val="22"/>
        </w:rPr>
        <w:t xml:space="preserve">2023도7528 — 공범인 공동피고인은 변론을 분리하면 다른 공동피고인에 대한 증인적격 인정.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9"/>
          <w:sz w:val="22"/>
          <w:szCs w:val="22"/>
        </w:rPr>
        <w:t xml:space="preserve">2005도7601 — 절도범과 장물범은 서로 증인 지위(비공범 공동피고인 증인적격).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9"/>
          <w:sz w:val="22"/>
          <w:szCs w:val="22"/>
        </w:rPr>
        <w:t xml:space="preserve">2009도3642 — 대향범(공무상비밀누설)에는 총칙 공범규정 적용 불가(누설받은 자 처벌 규정 없음).</w:t>
      </w: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※ 모든 판시 요지·조문은 첨부된 형사법 채점기준표(2026.1차) 사례형·기록형에서만 인용했습니다. 판례 번호가 병기되지 않은 카드(신분범 §33·§31, 체포현장 압수 등)는 채기표가 조문·법리 형태로만 제시한 부분입니다.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형사법 취약 판례 복습 시트 ·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50" w:before="280"/>
      <w:outlineLvl w:val="0"/>
    </w:pPr>
    <w:rPr>
      <w:rFonts w:ascii="맑은 고딕" w:cs="맑은 고딕" w:eastAsia="맑은 고딕" w:hAnsi="맑은 고딕"/>
      <w:b/>
      <w:bCs/>
      <w:color w:val="1F3864"/>
      <w:sz w:val="29"/>
      <w:szCs w:val="29"/>
    </w:rPr>
  </w:style>
  <w:style w:type="paragraph" w:styleId="Heading3">
    <w:name w:val="Heading 3"/>
    <w:basedOn w:val="Normal"/>
    <w:next w:val="Normal"/>
    <w:qFormat/>
    <w:pPr>
      <w:spacing w:after="70" w:before="200"/>
      <w:outlineLvl w:val="2"/>
    </w:pPr>
    <w:rPr>
      <w:rFonts w:ascii="맑은 고딕" w:cs="맑은 고딕" w:eastAsia="맑은 고딕" w:hAnsi="맑은 고딕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2026-07-04T13:22:12.552Z</dcterms:created>
  <dcterms:modified xsi:type="dcterms:W3CDTF">2026-07-04T13:22:12.552Z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