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4"/>
        </w:pBdr>
        <w:spacing w:after="10" w:before="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이행의 소 · 확인의 소 적법성 구조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546E7A"/>
          <w:sz w:val="18"/>
          <w:szCs w:val="18"/>
        </w:rPr>
        <w:t xml:space="preserve">2026-05-08  |  변호사시험 민사소송법  [Version C — 구조화 요약표형]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600"/>
        <w:gridCol w:w="2638"/>
        <w:gridCol w:w="3200"/>
      </w:tblGrid>
      <w:tr>
        <w:tc>
          <w:tcPr>
            <w:gridSpan w:val="5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(1) 이행의 소</w:t>
            </w:r>
          </w:p>
        </w:tc>
      </w:tr>
      <w:tr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논점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구조 / 요건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판례 키워드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원칙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예외 /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현재이행의 소
① 집행 불능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소의 이익 판단 기준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• 관념적 분쟁해결절차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• 집행권원 = 심리적 압박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"판결절차는 관념적 분쟁해결절차이고, 집행권원의 보유는 피고에게 심리적 압박이 되므로 소의 이익을 긍정"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소의 이익 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② 가압류
금전채권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가압류 있어도 소의 이익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→ 집행단계에서 저지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"채권이 가압류되어 있다 하더라도 제3채무자로서는 이행을 명하는 판결이 있더라도 집행단계에서 이를 저지하면 될 것이기 때문이다."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소의 이익 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③ 가압류·가처분
소유권이전
등기청구권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의사진술 명하는 판결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확정 → 채무자 일방적 신청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제3채무자: 저지 방법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"소유권이전등기를 명하는 판결은 의사의 진술을 명하는 판결로서 이것이 확정되면 채무자는 일방적으로 이전등기를 신청할 수 있고 제3채무자는 이를 저지할 방법이 없기 때문에 법원은 가압류의 해제를 조건으로 인용판결을 해야 한다."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소 → 적법
가압류 해제
조건부 인용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④ 부기등기만의
말소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주등기 말소 → 부기등기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직권말소 → 별도청구 실익 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저당권 이전 부기등기는 주등기 말소 시 직권말소됨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소의 이익 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19"/>
                <w:szCs w:val="19"/>
              </w:rPr>
              <w:t xml:space="preserve">[예외]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이전원인만 무효·취소·해제
→ 소의 이익 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장래이행의 소
① 청구적격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두문자: 의·장·변·확·예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• 사실상·법률상 관계 변론종결시 존재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• 의무불이행사유 장래까지 존속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• 변론종결당시 확정적 예정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"사실상·법률상 관계가 변론종결 시에 존재해야 하고, 의무불이행사유가 장래 이행기까지 존속한다는 것을 변론종결 당시에 확정적으로 예정할 수 있는 것이어야 한다."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청구적격 충족 시
→ 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장래이행의 소
② 미리 청구할
필요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채무자의 임의이행을 기대할 수 없는 경우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"채무자의 임의이행을 기대할 수 없는 경우를 말한다."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장래이행의 소
③ 선이행청구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두문자: 조·개·피·담·즉·기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조건부 청구 → 조건성취 개연성 크므로 청구적격 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조건부 청구로서 조건성취의 개연성이 크기 때문에 청구적격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미리 청구할 필요
불인정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19"/>
                <w:szCs w:val="19"/>
              </w:rPr>
              <w:t xml:space="preserve">[예외]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저당권·양도담보:
채권자가 피담보채무·담보목적 다투어 즉시 협력 기대 불가 → 인정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1C2833"/>
          <w:sz w:val="19"/>
          <w:szCs w:val="19"/>
        </w:rPr>
        <w:t xml:space="preserve"/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600"/>
        <w:gridCol w:w="2638"/>
        <w:gridCol w:w="3200"/>
      </w:tblGrid>
      <w:tr>
        <w:tc>
          <w:tcPr>
            <w:gridSpan w:val="5"/>
            <w:tcBorders>
              <w:top w:val="single" w:color="1A5E20" w:sz="1"/>
              <w:left w:val="single" w:color="1A5E20" w:sz="1"/>
              <w:bottom w:val="single" w:color="1A5E20" w:sz="1"/>
              <w:right w:val="single" w:color="1A5E20" w:sz="1"/>
            </w:tcBorders>
            <w:shd w:fill="1A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(2) 확인의 소   ★ 전체구조: 자현권 / 법현장 / 적당이</w:t>
            </w:r>
          </w:p>
        </w:tc>
      </w:tr>
      <w:tr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논점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구조 / 요건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판례 키워드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원칙</w:t>
            </w:r>
          </w:p>
        </w:tc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예외 /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대상적격
(자·현·권)
【자기의】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자기의 권리관계 = 원칙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타인 권리관계 = 예외적 허용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"타인의 권리관계에 대한 확인의 소가 자기의 권리관계에 대한 불안·위험을 제거할 수 있는 유효·적절한 수단인 경우"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자기의 권리관계만
대상적격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19"/>
                <w:szCs w:val="19"/>
              </w:rPr>
              <w:t xml:space="preserve">[예외]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유효·적절한 수단인 경우
→ 확인의 이익 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대상적격
(자·현·권)
【현재의】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과거 권리관계 = 원칙적 대상적격 ✗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예외 3요건: ①현재에 영향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②위험 제거  ③유효·적절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과거의 권리관계라도 현재의 권리관계에 영향을 미치고 위험을 제거하기 위하여 확인판결이 유효·적절한 수단인 경우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현재의 권리관계만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19"/>
                <w:szCs w:val="19"/>
              </w:rPr>
              <w:t xml:space="preserve">[예외]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3요건 충족시 → 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확인의 이익
(법·현·장)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9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①법률상 지위에
②현존하는 불안·위험
③가장 유효·적절한 수단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원고의 법률상의 지위에, 현존하는 불안·위험이 있고, 그 불안·위험을 제거함에 피고를 상대로 확인판결을 받는 것이 가장 유효·적절한 수단일 때에만 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3요건 모두 충족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유효·적절
(적·당·이)
① 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적극적 확인의 소 가능 →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소극적 확인의 소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자기의 소유권 존재 확인의 소를 제기할 수 있는 경우, 소극적으로 상대방 소유권 부존재 확인의 소는 확인의 이익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소극적 확인의 소
→ 확인의 이익 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유효·적절
(적·당·이)
② 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당해 소송 구제수단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있으면 별소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당해 소송에서 구제수단이 있음에도 별소로 확인의 소를 제기하는 경우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당해 소송 구제수단
있으면 별소 → 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유효·적절
(적·당·이)
③ 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이행의 소 보충성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이행소 제기 가능하면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확인소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이행의 소를 바로 제기할 수 있는데도 이행청구권 자체의 존재 확인의 소 제기 → 확인의 이익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[원칙]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이행소 가능 →
확인소 이익 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19"/>
                <w:szCs w:val="19"/>
              </w:rPr>
              <w:t xml:space="preserve">[예외] </w:t>
            </w: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선결적 법률관계의
확인청구 → 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추가 판례
취득시효
미등기 토지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국가: 20년 점유 취득시효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소유자: 이전등기의무 부담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color w:val="1C2833"/>
                <w:sz w:val="19"/>
                <w:szCs w:val="19"/>
              </w:rPr>
              <w:t xml:space="preserve">→ 소유권 행사할 지위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65C0"/>
                <w:sz w:val="19"/>
                <w:szCs w:val="19"/>
              </w:rPr>
              <w:t xml:space="preserve">判 </w:t>
            </w:r>
            <w:r>
              <w:rPr>
                <w:rFonts w:ascii="Malgun Gothic" w:cs="Malgun Gothic" w:eastAsia="Malgun Gothic" w:hAnsi="Malgun Gothic"/>
                <w:i/>
                <w:iCs/>
                <w:color w:val="263238"/>
                <w:sz w:val="19"/>
                <w:szCs w:val="19"/>
              </w:rPr>
              <w:t xml:space="preserve">"국가에 대하여 그 소유권을 행사할 지위에 있다고 보기 어렵고, 소유권확인판결을 받는다고 해서 이러한 지위에 변동이 생기는 것도 아니므로 굳이 국가를 상대로 토지에 대한 소유권의 확인을 구하는 것은 무의미하다."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9"/>
                <w:szCs w:val="19"/>
              </w:rPr>
              <w:t xml:space="preserve">확인의 이익 →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3"/>
      </w:pBdr>
      <w:jc w:val="center"/>
    </w:pPr>
    <w:r>
      <w:rPr>
        <w:rFonts w:ascii="Malgun Gothic" w:cs="Malgun Gothic" w:eastAsia="Malgun Gothic" w:hAnsi="Malgun Gothic"/>
        <w:color w:val="546E7A"/>
        <w:sz w:val="18"/>
        <w:szCs w:val="18"/>
      </w:rPr>
      <w:t xml:space="preserve">Version C — 구조화 요약표형  |  </w:t>
    </w:r>
    <w:r>
      <w:rPr>
        <w:rFonts w:ascii="Malgun Gothic" w:cs="Malgun Gothic" w:eastAsia="Malgun Gothic" w:hAnsi="Malgun Gothic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2" w:space="3"/>
      </w:pBdr>
    </w:pPr>
    <w:r>
      <w:rPr>
        <w:rFonts w:ascii="Malgun Gothic" w:cs="Malgun Gothic" w:eastAsia="Malgun Gothic" w:hAnsi="Malgun Gothic"/>
        <w:color w:val="546E7A"/>
        <w:sz w:val="18"/>
        <w:szCs w:val="18"/>
      </w:rPr>
      <w:t xml:space="preserve">이행의 소 · 확인의 소 적법성 구조  | 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2026-05-08T13:09:41.907Z</dcterms:created>
  <dcterms:modified xsi:type="dcterms:W3CDTF">2026-05-08T13:09:41.907Z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