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8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민사변호사실무  ·  기록형 첨삭 리포트</w:t>
            </w:r>
          </w:p>
          <w:p>
            <w:pPr>
              <w:spacing w:after="8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A8C4E0"/>
                <w:sz w:val="24"/>
                <w:szCs w:val="24"/>
              </w:rPr>
              <w:t xml:space="preserve">피고 서은정에 대한 청구 — 전면 분석</w:t>
            </w:r>
          </w:p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A8C4E0"/>
                <w:sz w:val="20"/>
                <w:szCs w:val="20"/>
              </w:rPr>
              <w:t xml:space="preserve">수업 과제 (2022. 8. 4. 기준)  |  2026. 5. 15. 작성</w:t>
            </w:r>
          </w:p>
        </w:tc>
      </w:tr>
    </w:tbl>
    <w:p>
      <w:pPr>
        <w:spacing w:after="60" w:before="0" w:line="320"/>
        <w:jc w:val="left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/>
      </w:r>
    </w:p>
    <w:p>
      <w:pPr>
        <w:pBdr>
          <w:bottom w:val="single" w:color="1F3864" w:sz="6"/>
        </w:pBdr>
        <w:spacing w:after="120" w:before="280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 청구취지 — 피고 서은정 부분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5A9C"/>
          <w:sz w:val="23"/>
          <w:szCs w:val="23"/>
        </w:rPr>
        <w:t xml:space="preserve">■ 세직 답안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BFBFBF" w:sz="2"/>
              <w:left w:val="thick" w:color="2E5A9C" w:sz="12"/>
              <w:bottom w:val="single" w:color="BFBFBF" w:sz="2"/>
              <w:right w:val="single" w:color="BFBFBF" w:sz="2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피고 서은정은 원고에게 10,000,000 원 및 이에 대한 2021. 9. 30.부터 이 사건</w:t>
            </w:r>
          </w:p>
          <w:p>
            <w:pPr>
              <w:spacing w:after="20" w:before="20" w:line="30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소장 부본 송달일까지는 연 6%의, 그 다음날부터 다 갚는 날까지는</w:t>
            </w:r>
          </w:p>
          <w:p>
            <w:pPr>
              <w:spacing w:after="20" w:before="20" w:line="30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연 12%의 각 비율로 계산한 돈을 지급하라.</w:t>
            </w:r>
          </w:p>
        </w:tc>
      </w:tr>
    </w:tbl>
    <w:p>
      <w:pPr>
        <w:spacing w:after="60" w:before="0" w:line="320"/>
        <w:jc w:val="left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5A9C"/>
          <w:sz w:val="23"/>
          <w:szCs w:val="23"/>
        </w:rPr>
        <w:t xml:space="preserve">■ 모범답안 (교수님)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BFBFBF" w:sz="2"/>
              <w:left w:val="thick" w:color="2E5A9C" w:sz="12"/>
              <w:bottom w:val="single" w:color="BFBFBF" w:sz="2"/>
              <w:right w:val="single" w:color="BFBFBF" w:sz="2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가. 피고 서은정은 10,000,000원 및 이에 대하여 2021. 9. 30.부터 이 사건</w:t>
            </w:r>
          </w:p>
          <w:p>
            <w:pPr>
              <w:spacing w:after="20" w:before="20" w:line="30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소장 부본 송달일까지는 연 6%의, 그 다음날부터 다 갚는 날까지는</w:t>
            </w:r>
          </w:p>
          <w:p>
            <w:pPr>
              <w:spacing w:after="20" w:before="20" w:line="30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연 12%의 각 비율로 계산한 돈을,</w:t>
            </w:r>
          </w:p>
        </w:tc>
      </w:tr>
    </w:tbl>
    <w:p>
      <w:pPr>
        <w:spacing w:after="60" w:before="0" w:line="320"/>
        <w:jc w:val="left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5A9C"/>
          <w:sz w:val="23"/>
          <w:szCs w:val="23"/>
        </w:rPr>
        <w:t xml:space="preserve">■ 항목별 대조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40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세직 기재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정답 기재례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금액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BF5700"/>
                <w:sz w:val="20"/>
                <w:szCs w:val="20"/>
              </w:rPr>
              <w:t xml:space="preserve">10,000,000 원  ⚠️  (공백 오류)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10,000,000원  ✅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기산일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2021. 9. 30.  ✅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2021. 9. 30.  ✅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이율 (지연 전)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연 6%  ✅  (상사 정확)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연 6%  ✅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이율 (지연 후)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연 12%  ✅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연 12%  ✅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문언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C00000"/>
                <w:sz w:val="20"/>
                <w:szCs w:val="20"/>
              </w:rPr>
              <w:t xml:space="preserve">'이에 대한'  ❌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375623"/>
                <w:sz w:val="20"/>
                <w:szCs w:val="20"/>
              </w:rPr>
              <w:t xml:space="preserve">'이에 대하여'  ✅</w:t>
            </w:r>
          </w:p>
        </w:tc>
      </w:tr>
    </w:tbl>
    <w:p>
      <w:pPr>
        <w:spacing w:after="60" w:before="0" w:line="320"/>
        <w:jc w:val="left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1"/>
                <w:szCs w:val="21"/>
              </w:rPr>
              <w:t xml:space="preserve">①</w:t>
            </w:r>
          </w:p>
        </w:tc>
        <w:tc>
          <w:tcPr>
            <w:tcW w:type="dxa" w:w="8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1"/>
                <w:szCs w:val="21"/>
              </w:rPr>
              <w:t xml:space="preserve">문언 오류: </w:t>
            </w: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"이에 대한"</w:t>
            </w: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21"/>
                <w:szCs w:val="21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375623"/>
                <w:sz w:val="20"/>
                <w:szCs w:val="20"/>
              </w:rPr>
              <w:t xml:space="preserve">"이에 대하여"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F5700"/>
                <w:sz w:val="21"/>
                <w:szCs w:val="21"/>
              </w:rPr>
              <w:t xml:space="preserve">②</w:t>
            </w:r>
          </w:p>
        </w:tc>
        <w:tc>
          <w:tcPr>
            <w:tcW w:type="dxa" w:w="8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BF5700"/>
                <w:sz w:val="21"/>
                <w:szCs w:val="21"/>
              </w:rPr>
              <w:t xml:space="preserve">공백 오류: </w:t>
            </w:r>
            <w:r>
              <w:rPr>
                <w:rFonts w:ascii="Courier New" w:cs="Courier New" w:eastAsia="Courier New" w:hAnsi="Courier New"/>
                <w:color w:val="BF5700"/>
                <w:sz w:val="20"/>
                <w:szCs w:val="20"/>
              </w:rPr>
              <w:t xml:space="preserve">"10,000,000 원"</w:t>
            </w: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21"/>
                <w:szCs w:val="21"/>
              </w:rPr>
              <w:t xml:space="preserve">  →  </w:t>
            </w:r>
            <w:r>
              <w:rPr>
                <w:rFonts w:ascii="Courier New" w:cs="Courier New" w:eastAsia="Courier New" w:hAnsi="Courier New"/>
                <w:color w:val="375623"/>
                <w:sz w:val="20"/>
                <w:szCs w:val="20"/>
              </w:rPr>
              <w:t xml:space="preserve">"10,000,000원"</w:t>
            </w: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  (금액과 '원' 사이 공백 제거)</w:t>
            </w:r>
          </w:p>
        </w:tc>
      </w:tr>
    </w:tbl>
    <w:p>
      <w:pPr>
        <w:spacing w:after="60" w:before="0" w:line="320"/>
        <w:jc w:val="left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/>
      </w:r>
    </w:p>
    <w:p>
      <w:pPr>
        <w:spacing w:after="60" w:before="0" w:line="320"/>
        <w:jc w:val="left"/>
      </w:pPr>
      <w:r>
        <w:rPr>
          <w:rFonts w:ascii="맑은 고딕" w:cs="맑은 고딕" w:eastAsia="맑은 고딕" w:hAnsi="맑은 고딕"/>
          <w:b/>
          <w:bCs/>
          <w:color w:val="375623"/>
          <w:sz w:val="21"/>
          <w:szCs w:val="21"/>
        </w:rPr>
        <w:t xml:space="preserve">✅  정확히 맞힌 것: </w:t>
      </w:r>
      <w:r>
        <w:rPr>
          <w:rFonts w:ascii="맑은 고딕" w:cs="맑은 고딕" w:eastAsia="맑은 고딕" w:hAnsi="맑은 고딕"/>
          <w:color w:val="000000"/>
          <w:sz w:val="21"/>
          <w:szCs w:val="21"/>
        </w:rPr>
        <w:t xml:space="preserve">금액(1,000만원) · 기산일(2021.9.30.) · 이율(연 6% 상사). 청구취지 골격은 탄탄함.</w:t>
      </w:r>
    </w:p>
    <w:p>
      <w:pPr>
        <w:spacing w:after="60" w:before="0" w:line="320"/>
        <w:jc w:val="left"/>
      </w:pPr>
      <w:r>
        <w:rPr>
          <w:rFonts w:ascii="맑은 고딕" w:cs="맑은 고딕" w:eastAsia="맑은 고딕" w:hAnsi="맑은 고딕"/>
          <w:b/>
          <w:bCs/>
          <w:color w:val="BF5700"/>
          <w:sz w:val="21"/>
          <w:szCs w:val="21"/>
        </w:rPr>
        <w:t xml:space="preserve">⚠️  참고: </w:t>
      </w: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모범답안은 두 피고를 '원고에게 … 각 지급하라' 구조로 묶었으나, 피고별 독립 항목 방식도 허용 범위 내. 단 '이에 대하여' 문언 통일 필수.</w:t>
      </w:r>
    </w:p>
    <w:p>
      <w:pPr>
        <w:spacing w:after="60" w:before="0" w:line="320"/>
        <w:jc w:val="left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/>
      </w:r>
    </w:p>
    <w:p>
      <w:pPr>
        <w:pBdr>
          <w:bottom w:val="single" w:color="1F3864" w:sz="6"/>
        </w:pBdr>
        <w:spacing w:after="120" w:before="280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 청구원인 — 피고 서은정 부분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5A9C"/>
          <w:sz w:val="23"/>
          <w:szCs w:val="23"/>
        </w:rPr>
        <w:t xml:space="preserve">■ 용어 오류: '전부금' → '추심금'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❌  세직 기재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✅  정확한 기재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피고 서은정에 대한 전부금 청구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Courier New" w:cs="Courier New" w:eastAsia="Courier New" w:hAnsi="Courier New"/>
                <w:color w:val="375623"/>
                <w:sz w:val="20"/>
                <w:szCs w:val="20"/>
              </w:rPr>
              <w:t xml:space="preserve">피고 서은정에 대한 추심금 청구</w:t>
            </w:r>
          </w:p>
        </w:tc>
      </w:tr>
    </w:tbl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원고가 받은 것은 전부명령이 아닌 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추심명령</w:t>
      </w: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(서울남부지방법원 2020타채8144호). '전부금'은 전부명령 기반 청구에 쓰는 용어로 사건 유형 자체가 달라지는 중대 오류.</w:t>
      </w:r>
    </w:p>
    <w:p>
      <w:pPr>
        <w:spacing w:after="60" w:before="0" w:line="320"/>
        <w:jc w:val="left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5A9C"/>
          <w:sz w:val="23"/>
          <w:szCs w:val="23"/>
        </w:rPr>
        <w:t xml:space="preserve">■ 청구원인 사실 — 전현경 화해 경위 서술 위치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20"/>
                <w:szCs w:val="20"/>
              </w:rPr>
              <w:t xml:space="preserve">세직 구성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모범답안 구성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임대차계약 → 상속 →</w:t>
            </w:r>
          </w:p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압류추심명령 → 공탁 후 잔존 1,000만</w:t>
            </w:r>
          </w:p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BF5700"/>
                <w:sz w:val="20"/>
                <w:szCs w:val="20"/>
              </w:rPr>
              <w:t xml:space="preserve">⚠️ 전현경 화해 경위는</w:t>
            </w:r>
          </w:p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BF5700"/>
                <w:sz w:val="20"/>
                <w:szCs w:val="20"/>
              </w:rPr>
              <w:t xml:space="preserve">항변 반박란에서만 간략 언급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임대차계약 → 상속 → 원고 압류추심명령</w:t>
            </w:r>
          </w:p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→ 전현경 소송 제기 → 화해 성립</w:t>
            </w:r>
          </w:p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→ 9,000만 공탁 → 잔존 1,000만</w:t>
            </w:r>
          </w:p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청구원인 사실 내 선행 기재 후 소결 처리</w:t>
            </w:r>
          </w:p>
        </w:tc>
      </w:tr>
    </w:tbl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재판상 화해 항변의 전제 사실(전현경 소송 경위)을 청구원인 사실에 먼저 서술해야 논리 구조가 자연스럽다. 세직은 이 사실을 항변 반박란에서만 단편적으로 언급하여 흐름이 어색했다.</w:t>
      </w:r>
    </w:p>
    <w:p>
      <w:pPr>
        <w:spacing w:after="60" w:before="0" w:line="320"/>
        <w:jc w:val="left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5A9C"/>
          <w:sz w:val="23"/>
          <w:szCs w:val="23"/>
        </w:rPr>
        <w:t xml:space="preserve">■ 기타 형식 오류</w:t>
      </w:r>
    </w:p>
    <w:p>
      <w:pPr>
        <w:spacing w:after="60" w:before="0" w:line="320"/>
        <w:jc w:val="left"/>
      </w:pPr>
      <w:r>
        <w:rPr>
          <w:rFonts w:ascii="맑은 고딕" w:cs="맑은 고딕" w:eastAsia="맑은 고딕" w:hAnsi="맑은 고딕"/>
          <w:b/>
          <w:bCs/>
          <w:color w:val="C00000"/>
          <w:sz w:val="21"/>
          <w:szCs w:val="21"/>
        </w:rPr>
        <w:t xml:space="preserve">❌ </w:t>
      </w:r>
      <w:r>
        <w:rPr>
          <w:rFonts w:ascii="맑은 고딕" w:cs="맑은 고딕" w:eastAsia="맑은 고딕" w:hAnsi="맑은 고딕"/>
          <w:color w:val="000000"/>
          <w:sz w:val="21"/>
          <w:szCs w:val="21"/>
        </w:rPr>
        <w:t xml:space="preserve">청구원인에서 4)번 항목이 세 번 연속 중복 기재 — 답안 완성도 저하.</w:t>
      </w:r>
    </w:p>
    <w:p>
      <w:pPr>
        <w:spacing w:after="60" w:before="0" w:line="320"/>
        <w:jc w:val="left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5A9C"/>
          <w:sz w:val="23"/>
          <w:szCs w:val="23"/>
        </w:rPr>
        <w:t xml:space="preserve">■ 항변 반박 분석 (4가지 체크)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63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항변 유형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① 소멸시효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2"/>
                <w:szCs w:val="22"/>
              </w:rPr>
              <w:t xml:space="preserve">✅</w:t>
            </w:r>
          </w:p>
        </w:tc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동시이행항변권 행사 중 점유 → 시효 불진행 법리 정확히 적시. 모범답안과 동일한 판례 법리 적용 (대법원 2020. 7. 9. 선고 2016다244224 판결).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② 변제 항변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F5700"/>
                <w:sz w:val="22"/>
                <w:szCs w:val="22"/>
              </w:rPr>
              <w:t xml:space="preserve">⚠️</w:t>
            </w:r>
          </w:p>
        </w:tc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BF5700"/>
                <w:sz w:val="20"/>
                <w:szCs w:val="20"/>
              </w:rPr>
              <w:t xml:space="preserve">법리는 맞으나 사실관계 혼동. </w:t>
            </w: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'피고가 한종원에게 1,000만원을 변제'라는 사실 자체가 문제 사안에 없음. 피고가 한 것은 전현경과의 화해에 따른 9,000만원 공탁. 사실 구성부터 수정 필요.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③ 재판상 화해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2"/>
                <w:szCs w:val="22"/>
              </w:rPr>
              <w:t xml:space="preserve">❌</w:t>
            </w:r>
          </w:p>
        </w:tc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완전 누락 — 이 문제의 핵심 쟁점. </w:t>
            </w: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전현경의 '나머지 청구 포기'는 추심권능 포기에 불과 / 피압류채권 자체 처분 권한 없음 / 화해 기판력은 선행 원고에게 미치지 않음. (대법원 2020. 10. 29. 선고 2016다35390 판결)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④ 지분 제한
(불가분채무)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2"/>
                <w:szCs w:val="22"/>
              </w:rPr>
              <w:t xml:space="preserve">✅</w:t>
            </w:r>
          </w:p>
        </w:tc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0"/>
                <w:szCs w:val="20"/>
              </w:rPr>
              <w:t xml:space="preserve">불가분채무 법리 정확히 기재. 대법원 2021. 1. 28. 선고 2015다59801 판결 인용은 없었으나 법리 서술은 정확.</w:t>
            </w:r>
          </w:p>
        </w:tc>
      </w:tr>
    </w:tbl>
    <w:p>
      <w:pPr>
        <w:spacing w:after="60" w:before="0" w:line="320"/>
        <w:jc w:val="left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/>
      </w:r>
    </w:p>
    <w:p>
      <w:pPr>
        <w:spacing w:after="60" w:before="0" w:line="320"/>
        <w:jc w:val="left"/>
      </w:pPr>
      <w:r>
        <w:rPr>
          <w:rFonts w:ascii="맑은 고딕" w:cs="맑은 고딕" w:eastAsia="맑은 고딕" w:hAnsi="맑은 고딕"/>
          <w:b/>
          <w:bCs/>
          <w:color w:val="2E5A9C"/>
          <w:sz w:val="21"/>
          <w:szCs w:val="21"/>
        </w:rPr>
        <w:t xml:space="preserve">▶ 변제 항변 — 올바른 사실 구성: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BFBFBF" w:sz="2"/>
              <w:left w:val="thick" w:color="2E5A9C" w:sz="12"/>
              <w:bottom w:val="single" w:color="BFBFBF" w:sz="2"/>
              <w:right w:val="single" w:color="BFBFBF" w:sz="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피고는 2021. 9. 29. 한종원에게 이 사건 임대차보증금 중 1,000만원을 직접</w:t>
            </w:r>
          </w:p>
          <w:p>
            <w:pPr>
              <w:spacing w:after="20" w:before="20" w:line="30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지급하였으므로 원고의 청구에 응할 수 없다고 항변할 것으로 예상됩니다.</w:t>
            </w:r>
          </w:p>
          <w:p>
            <w:pPr>
              <w:spacing w:after="20" w:before="20" w:line="30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20" w:line="30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→ 그러나 원고의 압류·추심명령은 2020. 10. 15. 피고에게 이미 송달되었으므로,</w:t>
            </w:r>
          </w:p>
          <w:p>
            <w:pPr>
              <w:spacing w:after="20" w:before="20" w:line="30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그 이후의 변제는 압류채권자인 원고에게 대항할 수 없습니다.</w:t>
            </w:r>
          </w:p>
          <w:p>
            <w:pPr>
              <w:spacing w:after="20" w:before="20" w:line="30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(대법원 2021. 3. 11. 선고 2017다278729 판결)</w:t>
            </w:r>
          </w:p>
        </w:tc>
      </w:tr>
    </w:tbl>
    <w:p>
      <w:pPr>
        <w:spacing w:after="60" w:before="0" w:line="320"/>
        <w:jc w:val="left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/>
      </w:r>
    </w:p>
    <w:p>
      <w:pPr>
        <w:spacing w:after="60" w:before="0" w:line="320"/>
        <w:jc w:val="left"/>
      </w:pPr>
      <w:r>
        <w:rPr>
          <w:rFonts w:ascii="맑은 고딕" w:cs="맑은 고딕" w:eastAsia="맑은 고딕" w:hAnsi="맑은 고딕"/>
          <w:b/>
          <w:bCs/>
          <w:color w:val="C00000"/>
          <w:sz w:val="21"/>
          <w:szCs w:val="21"/>
        </w:rPr>
        <w:t xml:space="preserve">▶ 재판상 화해 항변 — 반드시 추가할 내용: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BFBFBF" w:sz="2"/>
              <w:left w:val="thick" w:color="2E5A9C" w:sz="12"/>
              <w:bottom w:val="single" w:color="BFBFBF" w:sz="2"/>
              <w:right w:val="single" w:color="BFBFBF" w:sz="2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피고는, 이 사건 전소(서울남부지방법원 2021가단38563)에서 전현경과 성립한</w:t>
            </w:r>
          </w:p>
          <w:p>
            <w:pPr>
              <w:spacing w:after="20" w:before="20" w:line="30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재판상 화해 중 '나머지 청구 포기 부분'의 효력이 원고에게도 미친다고</w:t>
            </w:r>
          </w:p>
          <w:p>
            <w:pPr>
              <w:spacing w:after="20" w:before="20" w:line="30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주장할 것으로 예상됩니다.</w:t>
            </w:r>
          </w:p>
          <w:p>
            <w:pPr>
              <w:spacing w:after="20" w:before="20" w:line="30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20" w:line="30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→ 그러나 추심채권자 전현경의 '나머지 청구 포기'는 전현경 자신의 추심권능</w:t>
            </w:r>
          </w:p>
          <w:p>
            <w:pPr>
              <w:spacing w:after="20" w:before="20" w:line="30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포기에 불과하고, 처분 권한이 없는 피압류채권 자체를 소멸시킨 것이 아닙니다.</w:t>
            </w:r>
          </w:p>
          <w:p>
            <w:pPr>
              <w:spacing w:after="20" w:before="20" w:line="30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또한 이 사건 전소 재판상 화해의 기판력은 그 전에 압류·추심명령을 받은</w:t>
            </w:r>
          </w:p>
          <w:p>
            <w:pPr>
              <w:spacing w:after="20" w:before="20" w:line="30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원고에게 미치지 않습니다.</w:t>
            </w:r>
          </w:p>
          <w:p>
            <w:pPr>
              <w:spacing w:after="20" w:before="20" w:line="300"/>
              <w:jc w:val="left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(대법원 2020. 10. 29. 선고 2016다35390 판결)</w:t>
            </w:r>
          </w:p>
        </w:tc>
      </w:tr>
    </w:tbl>
    <w:p>
      <w:pPr>
        <w:spacing w:after="60" w:before="0" w:line="320"/>
        <w:jc w:val="left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/>
      </w:r>
    </w:p>
    <w:p>
      <w:pPr>
        <w:pBdr>
          <w:bottom w:val="single" w:color="1F3864" w:sz="6"/>
        </w:pBdr>
        <w:spacing w:after="120" w:before="280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3. 동기 답안 비교 — 서은정 청구 부분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50"/>
        <w:gridCol w:w="1150"/>
        <w:gridCol w:w="1100"/>
        <w:gridCol w:w="1000"/>
        <w:gridCol w:w="1000"/>
        <w:gridCol w:w="1400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답안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이율
(연 6%)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기산일
(9.30.)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소멸시효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재판상
화해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불가분
채무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특이사항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★ 세직 (민변실)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✅ 6%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✅ 9.30.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❌ 누락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변제 사실관계 혼동
추심금→전부금 오기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0515 민변실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— 미기재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— 미기재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⚠️ 불완전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⚠️ 불완전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⚠️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청구취지 서은정
부분 공란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0515-1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❌ 5%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❌ 2022.7.5.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이율·기산일 오류
항변 4개는 완전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민변실 11주차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✅ 6%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⚠️ 오탈자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가장 완성도 높음
기산일 오탈자만 흠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민변실 260515-1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✅ 6%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✅ 9.30.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4항변 완전 기재
전반 안정적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5.15-민변실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❌ 5%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✅ 9.30.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이율만 오류
항변 4개 처리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9주차-2 (pdf)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❌ 5%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❌ 2015.6.1.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⚠️ 법리*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⚠️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❌ 연대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시효중단 논리
불가분→연대 혼동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0515 (pdf)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— 미기재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— 미기재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⚠️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❌ 연대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서은정 청구 불완전
연대채무 오기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0515-1 (pdf)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❌ 5%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❌ 2022.7.6.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이율·기산일 오류
항변 구성 완전</w:t>
            </w:r>
          </w:p>
        </w:tc>
      </w:tr>
    </w:tbl>
    <w:p>
      <w:pPr>
        <w:spacing w:after="60" w:before="60" w:line="320"/>
        <w:ind w:left="200"/>
        <w:jc w:val="left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* 9주차 답안은 소멸시효 반박 근거로 '압류·추심명령 송달로 시효 중단(민법 168조 2호)'을 사용. 모범답안 법리(동시이행 점유 中 시효 불진행)와 논리 구조가 달라 설득력이 약함.</w:t>
      </w:r>
    </w:p>
    <w:p>
      <w:pPr>
        <w:spacing w:after="60" w:before="0" w:line="320"/>
        <w:jc w:val="left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/>
      </w:r>
    </w:p>
    <w:p>
      <w:pPr>
        <w:pBdr>
          <w:bottom w:val="single" w:color="1F3864" w:sz="6"/>
        </w:pBdr>
        <w:spacing w:after="120" w:before="280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4. 동기 답안 참고 코멘트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BFBFBF" w:sz="2"/>
              <w:left w:val="thick" w:color="1F3864" w:sz="12"/>
              <w:bottom w:val="single" w:color="BFBFBF" w:sz="2"/>
              <w:right w:val="single" w:color="BFBFBF" w:sz="2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✅  이율 판단 — 세직이 상위권</w:t>
            </w:r>
          </w:p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연 6%(상사)를 정확히 쓴 답안은 세직·11주차·260515-1·5.15 일부. 나머지 절반이 연 5%(민사)로 오류. 한종원이 상인(음식점 영업 보조적 상행위)임을 파악해 상사법정이율을 적용한 세직의 판단이 정확했다. 청구취지에서 이 부분은 확실히 변별력이 있는 포인트.</w:t>
            </w:r>
          </w:p>
        </w:tc>
      </w:tr>
    </w:tbl>
    <w:p>
      <w:pPr>
        <w:spacing w:after="60" w:before="0" w:line="320"/>
        <w:jc w:val="left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BFBFBF" w:sz="2"/>
              <w:left w:val="thick" w:color="C00000" w:sz="12"/>
              <w:bottom w:val="single" w:color="BFBFBF" w:sz="2"/>
              <w:right w:val="single" w:color="BFBFBF" w:sz="2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2"/>
                <w:szCs w:val="22"/>
              </w:rPr>
              <w:t xml:space="preserve">❌  재판상 화해 항변 — 세직 포함 일부 누락</w:t>
            </w:r>
          </w:p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재판상 화해 항변은 이 문제의 가장 독특한 쟁점. 260515-1·11주차·0515-1·5.15·0515-1(pdf) 등이 정확히 처리했고, 세직은 누락했다. 동기들 답안을 보면 이 항변 처리 여부가 답안 완성도를 가르는 핵심 변별점임을 알 수 있다. '추심금 소장 = 4가지 항변 체크리스트'를 기계적으로 적용하는 습관을 들일 것.</w:t>
            </w:r>
          </w:p>
        </w:tc>
      </w:tr>
    </w:tbl>
    <w:p>
      <w:pPr>
        <w:spacing w:after="60" w:before="0" w:line="320"/>
        <w:jc w:val="left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BFBFBF" w:sz="2"/>
              <w:left w:val="thick" w:color="1F3864" w:sz="12"/>
              <w:bottom w:val="single" w:color="BFBFBF" w:sz="2"/>
              <w:right w:val="single" w:color="BFBFBF" w:sz="2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★  벤치마킹 대상 — 11주차 · 260515-1</w:t>
            </w:r>
          </w:p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11주차 답안은 4가지 항변 모두 정확히 처리하고 법리 서술이 가장 상세하다(기산일 오탈자 '201.9.30.' 제외). 260515-1은 항변 4개 완전 기재에 기산일도 정확. 세직이 다음 답안에서 참고할 구조. 특히 재판상 화해 항변의 서술 방식과 소결 처리 방식을 참고할 것.</w:t>
            </w:r>
          </w:p>
        </w:tc>
      </w:tr>
    </w:tbl>
    <w:p>
      <w:pPr>
        <w:spacing w:after="60" w:before="0" w:line="320"/>
        <w:jc w:val="left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BFBFBF" w:sz="2"/>
              <w:left w:val="thick" w:color="BF5700" w:sz="12"/>
              <w:bottom w:val="single" w:color="BFBFBF" w:sz="2"/>
              <w:right w:val="single" w:color="BFBFBF" w:sz="2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BF5700"/>
                <w:sz w:val="22"/>
                <w:szCs w:val="22"/>
              </w:rPr>
              <w:t xml:space="preserve">⚠️  불가분채무 vs 연대채무 — 용어 혼동 주의</w:t>
            </w:r>
          </w:p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9주차·0515(pdf) 답안은 불가분채무 대신 '연대채무'를 사용했다. 판례(대법원 2021. 1. 28. 선고 2015다59801 판결)는 '불가분채무'로 명시하므로 '연대채무'는 오기. 세직은 이 부분을 정확히 처리했다. 이 구분은 변시에서도 자주 출제되는 포인트.</w:t>
            </w:r>
          </w:p>
        </w:tc>
      </w:tr>
    </w:tbl>
    <w:p>
      <w:pPr>
        <w:spacing w:after="60" w:before="0" w:line="320"/>
        <w:jc w:val="left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/>
      </w:r>
    </w:p>
    <w:p>
      <w:pPr>
        <w:pBdr>
          <w:bottom w:val="single" w:color="1F3864" w:sz="6"/>
        </w:pBdr>
        <w:spacing w:after="120" w:before="280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5. 종합 평가 — 서은정 부분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청구취지 골격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1"/>
                <w:szCs w:val="21"/>
              </w:rPr>
              <w:t xml:space="preserve">양호 </w:t>
            </w: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— 금액·기산일·이율 모두 정확. '이에 대하여' 문언 수정만 필요.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9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청구원인 사실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BF5700"/>
                <w:sz w:val="21"/>
                <w:szCs w:val="21"/>
              </w:rPr>
              <w:t xml:space="preserve">보통 </w:t>
            </w: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— 전현경 화해 경위 서술 위치 어색. 항번호 4) 중복.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9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항변 반박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1"/>
                <w:szCs w:val="21"/>
              </w:rPr>
              <w:t xml:space="preserve">미흡 </w:t>
            </w: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— 재판상 화해 항변 누락(핵심 쟁점). 변제 항변 사실관계 혼동.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서은정 단독 등급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BF5700"/>
                <w:sz w:val="21"/>
                <w:szCs w:val="21"/>
              </w:rPr>
              <w:t xml:space="preserve">B — 보완 필요 </w:t>
            </w: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(청구취지 상위권 / 항변 구성 불완전으로 감점)</w:t>
            </w:r>
          </w:p>
        </w:tc>
      </w:tr>
    </w:tbl>
    <w:p>
      <w:pPr>
        <w:spacing w:after="60" w:before="0" w:line="320"/>
        <w:jc w:val="left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E5A9C"/>
          <w:sz w:val="23"/>
          <w:szCs w:val="23"/>
        </w:rPr>
        <w:t xml:space="preserve">■ 다음 답안 작성 전 서은정 부분 체크리스트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8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청구취지: '이에 대하여' 문언 확인 (조사 하나 감점 직결)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8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청구취지: 금액과 '원' 사이 공백 없음 확인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8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청구원인 사실: 전현경 소송 경위 → 화해 → 공탁 경위 선행 서술 후 잔존액 소결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W w:type="dxa" w:w="8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항변 4가지 빠짐없이: 소멸시효 / 변제(압류 후 대항 불가) / 재판상 화해 / 지분제한(불가분채무)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5</w:t>
            </w:r>
          </w:p>
        </w:tc>
        <w:tc>
          <w:tcPr>
            <w:tcW w:type="dxa" w:w="8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추심금 용어 확인 — 전부금 혼동 금지 (집행권원 명칭도 '물품대금 판결정본')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6</w:t>
            </w:r>
          </w:p>
        </w:tc>
        <w:tc>
          <w:tcPr>
            <w:tcW w:type="dxa" w:w="8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0" w:line="32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21"/>
                <w:szCs w:val="21"/>
              </w:rPr>
              <w:t xml:space="preserve">판례 3개 인용: 2016다244224(소멸시효), 2016다35390(화해), 2015da59801(불가분)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민사변호사실무 기록형 첨삭 리포트 — 서은정 부분  |  </w:t>
    </w:r>
    <w:r>
      <w:rPr>
        <w:rFonts w:ascii="맑은 고딕" w:cs="맑은 고딕" w:eastAsia="맑은 고딕" w:hAnsi="맑은 고딕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2026-05-16T08:15:51.109Z</dcterms:created>
  <dcterms:modified xsi:type="dcterms:W3CDTF">2026-05-16T08:15:51.109Z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